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936" w14:textId="5E089C3B" w:rsidR="005D1F1F" w:rsidRDefault="005D1F1F" w:rsidP="004748A1">
      <w:pPr>
        <w:spacing w:before="120"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b/>
          <w:bCs/>
          <w:noProof/>
          <w:kern w:val="0"/>
          <w:sz w:val="28"/>
          <w:szCs w:val="28"/>
          <w:lang w:eastAsia="it-IT"/>
        </w:rPr>
        <w:drawing>
          <wp:inline distT="0" distB="0" distL="0" distR="0" wp14:anchorId="0B5E5FF9" wp14:editId="7A21D017">
            <wp:extent cx="1335943" cy="906780"/>
            <wp:effectExtent l="0" t="0" r="0" b="7620"/>
            <wp:docPr id="1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96" cy="91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041E5" w14:textId="77777777" w:rsidR="005D1F1F" w:rsidRDefault="005D1F1F" w:rsidP="004748A1">
      <w:pPr>
        <w:spacing w:before="120"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</w:pPr>
    </w:p>
    <w:p w14:paraId="1C6DB9DA" w14:textId="27302F38" w:rsidR="004748A1" w:rsidRPr="004748A1" w:rsidRDefault="004748A1" w:rsidP="004748A1">
      <w:pPr>
        <w:spacing w:before="120"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</w:pPr>
      <w:r w:rsidRPr="004748A1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 xml:space="preserve">XX Rapporto di Monitoraggio </w:t>
      </w:r>
      <w:proofErr w:type="spellStart"/>
      <w:r w:rsidRPr="004748A1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>IeFP</w:t>
      </w:r>
      <w:proofErr w:type="spellEnd"/>
      <w:r w:rsidRPr="004748A1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 xml:space="preserve"> e Duale</w:t>
      </w:r>
    </w:p>
    <w:p w14:paraId="095DA668" w14:textId="77777777" w:rsidR="005D1F1F" w:rsidRPr="005D1F1F" w:rsidRDefault="005D1F1F" w:rsidP="005D1F1F">
      <w:pPr>
        <w:spacing w:after="0" w:line="240" w:lineRule="auto"/>
        <w:jc w:val="center"/>
        <w:rPr>
          <w:rFonts w:eastAsia="Times New Roman" w:cstheme="minorHAnsi"/>
          <w:b/>
          <w:bCs/>
          <w:caps/>
          <w:spacing w:val="-16"/>
          <w:kern w:val="0"/>
          <w:lang w:eastAsia="it-IT"/>
          <w14:ligatures w14:val="none"/>
        </w:rPr>
      </w:pPr>
    </w:p>
    <w:p w14:paraId="387F97A5" w14:textId="4E1EA99C" w:rsidR="004748A1" w:rsidRPr="004748A1" w:rsidRDefault="004748A1" w:rsidP="004748A1">
      <w:pPr>
        <w:spacing w:before="120" w:after="0" w:line="240" w:lineRule="auto"/>
        <w:jc w:val="center"/>
        <w:rPr>
          <w:rFonts w:eastAsia="Times New Roman" w:cstheme="minorHAnsi"/>
          <w:b/>
          <w:bCs/>
          <w:caps/>
          <w:spacing w:val="-6"/>
          <w:kern w:val="0"/>
          <w:sz w:val="32"/>
          <w:szCs w:val="32"/>
          <w:lang w:eastAsia="it-IT"/>
          <w14:ligatures w14:val="none"/>
        </w:rPr>
      </w:pPr>
      <w:r w:rsidRPr="004748A1">
        <w:rPr>
          <w:rFonts w:eastAsia="Times New Roman" w:cstheme="minorHAnsi"/>
          <w:b/>
          <w:bCs/>
          <w:caps/>
          <w:spacing w:val="-6"/>
          <w:kern w:val="0"/>
          <w:sz w:val="32"/>
          <w:szCs w:val="32"/>
          <w:lang w:eastAsia="it-IT"/>
          <w14:ligatures w14:val="none"/>
        </w:rPr>
        <w:t xml:space="preserve">FORMAZIONE, INAPP: </w:t>
      </w:r>
      <w:r w:rsidR="004A0E6E" w:rsidRPr="004A0E6E">
        <w:rPr>
          <w:rFonts w:eastAsia="Times New Roman" w:cstheme="minorHAnsi"/>
          <w:b/>
          <w:bCs/>
          <w:caps/>
          <w:spacing w:val="-6"/>
          <w:kern w:val="0"/>
          <w:sz w:val="32"/>
          <w:szCs w:val="32"/>
          <w:lang w:eastAsia="it-IT"/>
          <w14:ligatures w14:val="none"/>
        </w:rPr>
        <w:t>“dal sapere</w:t>
      </w:r>
      <w:r w:rsidRPr="004748A1">
        <w:rPr>
          <w:rFonts w:eastAsia="Times New Roman" w:cstheme="minorHAnsi"/>
          <w:b/>
          <w:bCs/>
          <w:caps/>
          <w:spacing w:val="-6"/>
          <w:kern w:val="0"/>
          <w:sz w:val="32"/>
          <w:szCs w:val="32"/>
          <w:lang w:eastAsia="it-IT"/>
          <w14:ligatures w14:val="none"/>
        </w:rPr>
        <w:t xml:space="preserve"> al saper fare. VOLAno Le iscrizioni alla NUOVA SUSSIDIARIETA’ (+79%), cresce ancora iL DUALE (+11,4%)</w:t>
      </w:r>
      <w:r w:rsidR="004A0E6E" w:rsidRPr="004A0E6E">
        <w:rPr>
          <w:rFonts w:eastAsia="Times New Roman" w:cstheme="minorHAnsi"/>
          <w:b/>
          <w:bCs/>
          <w:caps/>
          <w:spacing w:val="-6"/>
          <w:kern w:val="0"/>
          <w:sz w:val="32"/>
          <w:szCs w:val="32"/>
          <w:lang w:eastAsia="it-IT"/>
          <w14:ligatures w14:val="none"/>
        </w:rPr>
        <w:t>”</w:t>
      </w:r>
    </w:p>
    <w:p w14:paraId="02258FAD" w14:textId="77777777" w:rsidR="005D1F1F" w:rsidRPr="005D1F1F" w:rsidRDefault="005D1F1F" w:rsidP="005D1F1F">
      <w:pPr>
        <w:spacing w:after="0" w:line="240" w:lineRule="auto"/>
        <w:jc w:val="center"/>
        <w:rPr>
          <w:rFonts w:eastAsia="Times New Roman" w:cstheme="minorHAnsi"/>
          <w:b/>
          <w:bCs/>
          <w:caps/>
          <w:spacing w:val="-16"/>
          <w:kern w:val="0"/>
          <w:lang w:eastAsia="it-IT"/>
          <w14:ligatures w14:val="none"/>
        </w:rPr>
      </w:pPr>
    </w:p>
    <w:p w14:paraId="11E9584E" w14:textId="68C5AA5D" w:rsidR="004748A1" w:rsidRPr="004748A1" w:rsidRDefault="000033F5" w:rsidP="004748A1">
      <w:pPr>
        <w:spacing w:before="120" w:after="0" w:line="240" w:lineRule="auto"/>
        <w:jc w:val="center"/>
        <w:rPr>
          <w:rFonts w:eastAsia="Times New Roman" w:cstheme="minorHAnsi"/>
          <w:b/>
          <w:bCs/>
          <w:caps/>
          <w:spacing w:val="-16"/>
          <w:kern w:val="0"/>
          <w:sz w:val="32"/>
          <w:szCs w:val="32"/>
          <w:lang w:eastAsia="it-IT"/>
          <w14:ligatures w14:val="none"/>
        </w:rPr>
      </w:pPr>
      <w:r w:rsidRPr="000033F5">
        <w:rPr>
          <w:rFonts w:eastAsia="Times New Roman" w:cstheme="minorHAnsi"/>
          <w:b/>
          <w:bCs/>
          <w:caps/>
          <w:spacing w:val="-16"/>
          <w:kern w:val="0"/>
          <w:sz w:val="32"/>
          <w:szCs w:val="32"/>
          <w:lang w:eastAsia="it-IT"/>
          <w14:ligatures w14:val="none"/>
        </w:rPr>
        <w:t>persiste un disallineamento tra qualificati e domanda delle imprese</w:t>
      </w:r>
    </w:p>
    <w:p w14:paraId="3FED6720" w14:textId="1B183ECC" w:rsidR="004748A1" w:rsidRPr="004748A1" w:rsidRDefault="004748A1" w:rsidP="004748A1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</w:pPr>
      <w:r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Fadda: “L</w:t>
      </w:r>
      <w:r w:rsidR="00AC78A1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’</w:t>
      </w:r>
      <w:r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offerta </w:t>
      </w:r>
      <w:r w:rsidR="00BF2924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di </w:t>
      </w:r>
      <w:proofErr w:type="spellStart"/>
      <w:r w:rsidR="00BF2924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IeFP</w:t>
      </w:r>
      <w:proofErr w:type="spellEnd"/>
      <w:r w:rsidR="00BF2924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 </w:t>
      </w:r>
      <w:r w:rsidR="00B80C71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d</w:t>
      </w:r>
      <w:r w:rsidR="00C87736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e</w:t>
      </w:r>
      <w:r w:rsidR="00B80C71"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gli Istituti Professionali</w:t>
      </w:r>
      <w:r w:rsidRPr="00EA3774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 sta andando </w:t>
      </w:r>
      <w:r w:rsidRPr="004748A1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progressivamente a confluire nel nuovo modello e le Regioni stanno adeguando l’offerta al rinnovamento dell’istituto della sussidiarietà prospettato dal decreto attuativo della riforma degli Istituti Professionali. </w:t>
      </w:r>
      <w:proofErr w:type="gramStart"/>
      <w:r w:rsidRPr="004748A1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E’</w:t>
      </w:r>
      <w:proofErr w:type="gramEnd"/>
      <w:r w:rsidR="00730A2F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 </w:t>
      </w:r>
      <w:r w:rsidRPr="004748A1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 xml:space="preserve">un segnale importante verso il tentativo di superamento del gap tra domanda e offerta di competenze collegato alla </w:t>
      </w:r>
      <w:proofErr w:type="spellStart"/>
      <w:r w:rsidRPr="004748A1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IeFP</w:t>
      </w:r>
      <w:proofErr w:type="spellEnd"/>
      <w:r w:rsidRPr="004748A1">
        <w:rPr>
          <w:rFonts w:ascii="Calibri Light" w:eastAsia="Times New Roman" w:hAnsi="Calibri Light" w:cs="Calibri Light"/>
          <w:b/>
          <w:bCs/>
          <w:kern w:val="0"/>
          <w:sz w:val="28"/>
          <w:szCs w:val="28"/>
          <w:lang w:eastAsia="it-IT"/>
          <w14:ligatures w14:val="none"/>
        </w:rPr>
        <w:t>”.</w:t>
      </w:r>
    </w:p>
    <w:p w14:paraId="119A18B6" w14:textId="77777777" w:rsidR="004748A1" w:rsidRPr="004748A1" w:rsidRDefault="004748A1" w:rsidP="004748A1">
      <w:p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p w14:paraId="5FB2A8AD" w14:textId="3CC18453" w:rsidR="004748A1" w:rsidRPr="005D1F1F" w:rsidRDefault="004748A1" w:rsidP="005D1F1F">
      <w:pPr>
        <w:spacing w:before="120" w:after="0" w:line="276" w:lineRule="auto"/>
        <w:jc w:val="both"/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Roma, 30 maggio 2023 – Cresce </w:t>
      </w:r>
      <w:r w:rsidR="008650EB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la voglia di </w:t>
      </w:r>
      <w:r w:rsidR="008650EB" w:rsidRPr="005D1F1F">
        <w:rPr>
          <w:rFonts w:eastAsia="Times New Roman" w:cstheme="minorHAnsi"/>
          <w:i/>
          <w:iCs/>
          <w:spacing w:val="-2"/>
          <w:kern w:val="0"/>
          <w:sz w:val="24"/>
          <w:szCs w:val="24"/>
          <w:lang w:eastAsia="it-IT"/>
          <w14:ligatures w14:val="none"/>
        </w:rPr>
        <w:t>imparare a fare</w:t>
      </w:r>
      <w:r w:rsidR="00380FB3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="00FC5CC2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>ne</w:t>
      </w:r>
      <w:r w:rsidR="00380FB3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i giovani che scelgono i percorse di </w:t>
      </w:r>
      <w:proofErr w:type="spellStart"/>
      <w:r w:rsidR="00380FB3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>Ie</w:t>
      </w:r>
      <w:r w:rsidR="00FC5CC2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>FP</w:t>
      </w:r>
      <w:proofErr w:type="spellEnd"/>
      <w:r w:rsidR="00380FB3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>. A</w:t>
      </w:r>
      <w:r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nche nell’anno formativo 2020-2021 </w:t>
      </w:r>
      <w:r w:rsidR="00380FB3"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aumenta </w:t>
      </w:r>
      <w:r w:rsidRPr="005D1F1F">
        <w:rPr>
          <w:rFonts w:eastAsia="Times New Roman" w:cstheme="minorHAnsi"/>
          <w:spacing w:val="-2"/>
          <w:kern w:val="0"/>
          <w:sz w:val="24"/>
          <w:szCs w:val="24"/>
          <w:lang w:eastAsia="it-IT"/>
          <w14:ligatures w14:val="none"/>
        </w:rPr>
        <w:t xml:space="preserve">il numero di iscrizioni alla nuova sussidiarietà: +79% rispetto all’anno precedente. Gli iscritti sono in tutto 33.663, poco meno dei 35.286 dell’integrativa e assorbono quasi 15 mila dei 36 mila iscritti persi nell’ultimo anno dai due modelli sussidiari in via di estinzione. Aumentano anche gli iscritti al duale (+11,4%), seppur ad un ritmo meno sostenuto dell’anno precedente. In cinque anni formativi sono di fatto raddoppiati. </w:t>
      </w:r>
    </w:p>
    <w:p w14:paraId="63FDD547" w14:textId="77777777" w:rsidR="004748A1" w:rsidRPr="005D1F1F" w:rsidRDefault="004748A1" w:rsidP="005D1F1F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La partecipazione al sistema della </w:t>
      </w:r>
      <w:proofErr w:type="spellStart"/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IeFP</w:t>
      </w:r>
      <w:proofErr w:type="spellEnd"/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(Istruzione e formazione professionale) registra invece una diminuzione del 10,9%, da addebitare perlopiù agli istituti professionali (-23%) e per la prima volta anche ai centri accreditati (-2,8%). Se si osserva il solo triennio, si registra una flessione delle iscrizioni del -10,8% (205.789 iscritti a fronte dei 230.811 dell’anno precedente).</w:t>
      </w:r>
    </w:p>
    <w:p w14:paraId="1BEBFC3B" w14:textId="647B67EF" w:rsidR="004748A1" w:rsidRPr="005D1F1F" w:rsidRDefault="004748A1" w:rsidP="005D1F1F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È quanto emerge dal </w:t>
      </w:r>
      <w:hyperlink r:id="rId5" w:history="1">
        <w:r w:rsidRPr="005442D4">
          <w:rPr>
            <w:rStyle w:val="Collegamentoipertestuale"/>
            <w:rFonts w:eastAsia="Times New Roman" w:cstheme="minorHAnsi"/>
            <w:kern w:val="0"/>
            <w:sz w:val="24"/>
            <w:szCs w:val="24"/>
            <w:lang w:eastAsia="it-IT"/>
            <w14:ligatures w14:val="none"/>
          </w:rPr>
          <w:t xml:space="preserve">XX Rapporto di monitoraggio del sistema di istruzione e formazione professionale e dei percorsi in duale nella </w:t>
        </w:r>
        <w:proofErr w:type="spellStart"/>
        <w:r w:rsidRPr="005442D4">
          <w:rPr>
            <w:rStyle w:val="Collegamentoipertestuale"/>
            <w:rFonts w:eastAsia="Times New Roman" w:cstheme="minorHAnsi"/>
            <w:kern w:val="0"/>
            <w:sz w:val="24"/>
            <w:szCs w:val="24"/>
            <w:lang w:eastAsia="it-IT"/>
            <w14:ligatures w14:val="none"/>
          </w:rPr>
          <w:t>IeFP</w:t>
        </w:r>
        <w:proofErr w:type="spellEnd"/>
      </w:hyperlink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Il report che ogni anno l’Inapp (Istituto nazionale per l’analisi delle politiche pubbliche) realizza per conto del Ministero del Lavoro e delle politiche sociali. </w:t>
      </w:r>
    </w:p>
    <w:p w14:paraId="0A8299C2" w14:textId="42B12D32" w:rsidR="002F6E12" w:rsidRPr="005D1F1F" w:rsidRDefault="004748A1" w:rsidP="005D1F1F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“Da quanto osservato - ha affermato Sebastiano Fadda, Presidente dell’Inapp - si può concludere che l’offerta scolastica tradizionale </w:t>
      </w:r>
      <w:r w:rsidR="00850495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di </w:t>
      </w:r>
      <w:proofErr w:type="spellStart"/>
      <w:r w:rsidR="00850495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IeFP</w:t>
      </w:r>
      <w:proofErr w:type="spellEnd"/>
      <w:r w:rsidR="00850495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stia andando progressivamente a confluire nel nuovo modello e che le Regioni stiano adeguando l’offerta al rinnovamento dell’istituto della sussidiarietà prospettato dal decreto attuativo della riforma degli Istituti Professionali. Questo fatto, insieme al rafforzamento del sistema duale, è molto importante </w:t>
      </w:r>
      <w:r w:rsidR="002F6E12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per ridurre il</w:t>
      </w: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gap che ancora persiste tra domanda e offerta di competenze collegato alle qualifiche e diplomi IeFP</w:t>
      </w:r>
      <w:r w:rsidR="00FC5CC2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</w:t>
      </w:r>
      <w:r w:rsidR="002F6E12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Tuttavia, questo non basta; per raggiungere risultati soddisfacenti sono necessari un forte ancoraggio dell’offerta </w:t>
      </w:r>
      <w:r w:rsidR="002F6E12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lastRenderedPageBreak/>
        <w:t xml:space="preserve">formativa </w:t>
      </w:r>
      <w:r w:rsidR="009D1F2A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a un attendibile quadro previsionale dei fabbisogni professionali e un rinnovato ed efficace sistema di orientamento”.</w:t>
      </w:r>
    </w:p>
    <w:p w14:paraId="6A8B6B30" w14:textId="3D9D5D9C" w:rsidR="004A0E6E" w:rsidRPr="005D1F1F" w:rsidRDefault="004A0E6E" w:rsidP="005D1F1F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Si rileva, infatti, un considerevole mismatch tra fabbisogni espressi dalle imprese e media annua dei qualificati e diplomati (periodo 2022-2026). Nello specifico, l’offerta complessiva di circa 79mila giovani qualificati e diplomati soddisfa solo il 67,6% della domanda potenziale di circa 117mila posti di lavoro. Mancano all’appello 38mila professionisti che si concentrano particolarmente nei seguenti settori: </w:t>
      </w:r>
      <w:r w:rsidR="00EA4B4D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17</w:t>
      </w: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mila nel settore meccanico, oltre 12mila in quello edile ed elettrico, più di 11mila in quello amministrativo segretariale e servizi di vendita. </w:t>
      </w:r>
    </w:p>
    <w:p w14:paraId="6A0D46C9" w14:textId="591CF832" w:rsidR="004A0E6E" w:rsidRPr="005D1F1F" w:rsidRDefault="004A0E6E" w:rsidP="005D1F1F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Viceversa, esistono figure la cui offerta in prospettiva dovrebbe superare la domanda, tra cui quelle dei settori ristorazione, agricolo, grafico, tessile e </w:t>
      </w:r>
      <w:r w:rsidR="00C3047D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soprattutto </w:t>
      </w: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benessere. </w:t>
      </w:r>
    </w:p>
    <w:p w14:paraId="61E48DB5" w14:textId="04CB1C92" w:rsidR="004748A1" w:rsidRPr="005D1F1F" w:rsidRDefault="004A0E6E" w:rsidP="005D1F1F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Nello specifico, l</w:t>
      </w:r>
      <w:r w:rsidR="004748A1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e figure professionali nella </w:t>
      </w:r>
      <w:proofErr w:type="spellStart"/>
      <w:r w:rsidR="004748A1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IeFP</w:t>
      </w:r>
      <w:proofErr w:type="spellEnd"/>
      <w:r w:rsidR="004748A1" w:rsidRPr="005D1F1F">
        <w:rPr>
          <w:rFonts w:eastAsia="Times New Roman" w:cstheme="minorHAnsi"/>
          <w:color w:val="FF0000"/>
          <w:kern w:val="0"/>
          <w:sz w:val="24"/>
          <w:szCs w:val="24"/>
          <w:lang w:eastAsia="it-IT"/>
          <w14:ligatures w14:val="none"/>
        </w:rPr>
        <w:t xml:space="preserve"> </w:t>
      </w:r>
      <w:r w:rsidR="004748A1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che hanno ricevuto il gradimento maggiore da parte dei corsisti sono l’operatore alla ristorazione (37.723 iscritti) e l’operatore del benessere (29.502 iscritti), seguono l’operatore meccanico (13.298 iscritti), l’operatore elettrico (11.121 iscritti) e l’operatore alla riparazione dei veicoli a motore (11.001 iscritti). Tra le nuove figure professionali, </w:t>
      </w:r>
      <w:r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spicca </w:t>
      </w:r>
      <w:r w:rsidR="004748A1" w:rsidRPr="005D1F1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l’operatore informatico che pur essendo stata introdotta solo da questa annualità formativa, registra più iscritti al primo anno (846) rispetto ad altri percorsi di qualifica consolidati da tempo. </w:t>
      </w:r>
    </w:p>
    <w:p w14:paraId="39E3F005" w14:textId="77777777" w:rsidR="004748A1" w:rsidRDefault="004748A1" w:rsidP="005D1F1F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14:paraId="11519DA9" w14:textId="77777777" w:rsidR="00CC178F" w:rsidRPr="005D1F1F" w:rsidRDefault="00CC178F" w:rsidP="005D1F1F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14:paraId="5D95633D" w14:textId="77777777" w:rsidR="00685B81" w:rsidRPr="00066410" w:rsidRDefault="00685B81" w:rsidP="00685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6410">
        <w:rPr>
          <w:rFonts w:cstheme="minorHAnsi"/>
          <w:sz w:val="24"/>
          <w:szCs w:val="24"/>
        </w:rPr>
        <w:t>Per maggiori informazioni:</w:t>
      </w:r>
    </w:p>
    <w:p w14:paraId="470D166B" w14:textId="77777777" w:rsidR="00685B81" w:rsidRPr="00066410" w:rsidRDefault="00685B81" w:rsidP="00685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6410">
        <w:rPr>
          <w:rFonts w:cstheme="minorHAnsi"/>
          <w:sz w:val="24"/>
          <w:szCs w:val="24"/>
        </w:rPr>
        <w:t>Giancarlo Salemi</w:t>
      </w:r>
    </w:p>
    <w:p w14:paraId="5C21D8FE" w14:textId="77777777" w:rsidR="00685B81" w:rsidRPr="00066410" w:rsidRDefault="00685B81" w:rsidP="00685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6410">
        <w:rPr>
          <w:rFonts w:cstheme="minorHAnsi"/>
          <w:sz w:val="24"/>
          <w:szCs w:val="24"/>
        </w:rPr>
        <w:t>Portavoce Presidente INAPP (347 6312823)</w:t>
      </w:r>
    </w:p>
    <w:p w14:paraId="198E651D" w14:textId="77777777" w:rsidR="00685B81" w:rsidRPr="00066410" w:rsidRDefault="002C7F5C" w:rsidP="00685B81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6" w:history="1">
        <w:r w:rsidR="00685B81" w:rsidRPr="00066410">
          <w:rPr>
            <w:rStyle w:val="Collegamentoipertestuale"/>
            <w:rFonts w:cstheme="minorHAnsi"/>
            <w:sz w:val="24"/>
            <w:szCs w:val="24"/>
          </w:rPr>
          <w:t>stampa@inapp.org</w:t>
        </w:r>
      </w:hyperlink>
    </w:p>
    <w:p w14:paraId="4024E181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33AF9F33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5A53C726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6FC34EC9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7F2BCCC9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4064CD64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04D38664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7CEEC83F" w14:textId="77777777" w:rsidR="004748A1" w:rsidRDefault="004748A1" w:rsidP="005E2D8C">
      <w:pPr>
        <w:spacing w:before="120" w:after="0"/>
        <w:jc w:val="both"/>
        <w:rPr>
          <w:rFonts w:cstheme="minorHAnsi"/>
        </w:rPr>
      </w:pPr>
    </w:p>
    <w:p w14:paraId="61794995" w14:textId="77777777" w:rsidR="004748A1" w:rsidRPr="0043705B" w:rsidRDefault="004748A1" w:rsidP="005E2D8C">
      <w:pPr>
        <w:spacing w:before="120" w:after="0"/>
        <w:jc w:val="both"/>
        <w:rPr>
          <w:rFonts w:cstheme="minorHAnsi"/>
        </w:rPr>
      </w:pPr>
    </w:p>
    <w:sectPr w:rsidR="004748A1" w:rsidRPr="00437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2F"/>
    <w:rsid w:val="000033F5"/>
    <w:rsid w:val="00046706"/>
    <w:rsid w:val="001878E4"/>
    <w:rsid w:val="00225D2F"/>
    <w:rsid w:val="002277F2"/>
    <w:rsid w:val="002B6A23"/>
    <w:rsid w:val="002C7F5C"/>
    <w:rsid w:val="002F6E12"/>
    <w:rsid w:val="00336715"/>
    <w:rsid w:val="00380FB3"/>
    <w:rsid w:val="003878A4"/>
    <w:rsid w:val="0039671E"/>
    <w:rsid w:val="003B11B3"/>
    <w:rsid w:val="003E5803"/>
    <w:rsid w:val="0043705B"/>
    <w:rsid w:val="00472157"/>
    <w:rsid w:val="004748A1"/>
    <w:rsid w:val="004A0E6E"/>
    <w:rsid w:val="004E50D9"/>
    <w:rsid w:val="005442D4"/>
    <w:rsid w:val="005D1F1F"/>
    <w:rsid w:val="005E2D8C"/>
    <w:rsid w:val="00601D09"/>
    <w:rsid w:val="00685B81"/>
    <w:rsid w:val="006C0929"/>
    <w:rsid w:val="00730A2F"/>
    <w:rsid w:val="00850495"/>
    <w:rsid w:val="008650EB"/>
    <w:rsid w:val="008C7FA8"/>
    <w:rsid w:val="00924C98"/>
    <w:rsid w:val="00960C2F"/>
    <w:rsid w:val="00965873"/>
    <w:rsid w:val="009D1F2A"/>
    <w:rsid w:val="00AC78A1"/>
    <w:rsid w:val="00AD5C47"/>
    <w:rsid w:val="00B161B0"/>
    <w:rsid w:val="00B80C71"/>
    <w:rsid w:val="00BA5DFD"/>
    <w:rsid w:val="00BF2924"/>
    <w:rsid w:val="00C17287"/>
    <w:rsid w:val="00C3047D"/>
    <w:rsid w:val="00C5281A"/>
    <w:rsid w:val="00C630CD"/>
    <w:rsid w:val="00C87736"/>
    <w:rsid w:val="00CC178F"/>
    <w:rsid w:val="00D30651"/>
    <w:rsid w:val="00D82AE6"/>
    <w:rsid w:val="00E65041"/>
    <w:rsid w:val="00EA3774"/>
    <w:rsid w:val="00EA4B4D"/>
    <w:rsid w:val="00EB2533"/>
    <w:rsid w:val="00FC5CC2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D1F"/>
  <w15:chartTrackingRefBased/>
  <w15:docId w15:val="{26CB61ED-C654-4D4F-9710-1794361E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85B8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inapp.org" TargetMode="External"/><Relationship Id="rId5" Type="http://schemas.openxmlformats.org/officeDocument/2006/relationships/hyperlink" Target="https://oa.inapp.org/xmlui/bitstream/handle/20.500.12916/3936/INAPP_XX-Rapporto-monitoraggio-sistema-IeFP-Duale_2023.pdf?sequence=4&amp;isAllowed=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 Claudio</dc:creator>
  <cp:keywords/>
  <dc:description/>
  <cp:lastModifiedBy>Gentile Laura</cp:lastModifiedBy>
  <cp:revision>6</cp:revision>
  <dcterms:created xsi:type="dcterms:W3CDTF">2023-05-29T16:44:00Z</dcterms:created>
  <dcterms:modified xsi:type="dcterms:W3CDTF">2023-05-30T09:14:00Z</dcterms:modified>
</cp:coreProperties>
</file>