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A25F" w14:textId="26DB2599" w:rsidR="00A9131E" w:rsidRDefault="00A9131E" w:rsidP="00B75BEC">
      <w:pPr>
        <w:jc w:val="center"/>
      </w:pPr>
      <w:r>
        <w:rPr>
          <w:rFonts w:ascii="Aptos Display" w:hAnsi="Aptos Display"/>
          <w:b/>
          <w:bCs/>
          <w:noProof/>
          <w:color w:val="156082"/>
          <w:sz w:val="28"/>
          <w:szCs w:val="28"/>
          <w14:ligatures w14:val="none"/>
        </w:rPr>
        <w:drawing>
          <wp:inline distT="0" distB="0" distL="0" distR="0" wp14:anchorId="403E13A2" wp14:editId="2883F868">
            <wp:extent cx="1238250" cy="838200"/>
            <wp:effectExtent l="0" t="0" r="0" b="0"/>
            <wp:docPr id="217371088" name="Immagine 1" descr="Immagine che contiene testo,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71088" name="Immagine 1" descr="Immagine che contiene testo, schermata, Elementi grafici, grafica&#10;&#10;Descrizione generata automaticament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a:ln>
                      <a:noFill/>
                    </a:ln>
                  </pic:spPr>
                </pic:pic>
              </a:graphicData>
            </a:graphic>
          </wp:inline>
        </w:drawing>
      </w:r>
    </w:p>
    <w:p w14:paraId="50FE3390" w14:textId="18DE4339" w:rsidR="001E5814" w:rsidRPr="00B75BEC" w:rsidRDefault="00B75BEC" w:rsidP="00B75BEC">
      <w:pPr>
        <w:jc w:val="center"/>
      </w:pPr>
      <w:r w:rsidRPr="00B75BEC">
        <w:t>COMUNICATO STAMPA</w:t>
      </w:r>
    </w:p>
    <w:p w14:paraId="29FBF5EF" w14:textId="791729B2" w:rsidR="00F17773" w:rsidRPr="00B75BEC" w:rsidRDefault="001E5814" w:rsidP="00B75BEC">
      <w:pPr>
        <w:jc w:val="center"/>
        <w:rPr>
          <w:b/>
          <w:bCs/>
          <w:sz w:val="36"/>
          <w:szCs w:val="36"/>
        </w:rPr>
      </w:pPr>
      <w:r w:rsidRPr="00B75BEC">
        <w:t>P</w:t>
      </w:r>
      <w:r w:rsidR="00F17773" w:rsidRPr="00B75BEC">
        <w:t>resentato il Rapporto annuale su mercato del lavoro e politiche di genere 2024</w:t>
      </w:r>
    </w:p>
    <w:p w14:paraId="20DA30E4" w14:textId="04D5D216" w:rsidR="00E013CB" w:rsidRPr="0052090C" w:rsidRDefault="001E5814" w:rsidP="00B75BEC">
      <w:pPr>
        <w:jc w:val="center"/>
        <w:rPr>
          <w:b/>
          <w:bCs/>
          <w:sz w:val="32"/>
          <w:szCs w:val="32"/>
        </w:rPr>
      </w:pPr>
      <w:r w:rsidRPr="0052090C">
        <w:rPr>
          <w:b/>
          <w:bCs/>
          <w:sz w:val="32"/>
          <w:szCs w:val="32"/>
        </w:rPr>
        <w:t xml:space="preserve">LAVORO, INAPP: </w:t>
      </w:r>
      <w:r w:rsidR="00E013CB" w:rsidRPr="0052090C">
        <w:rPr>
          <w:b/>
          <w:bCs/>
          <w:sz w:val="32"/>
          <w:szCs w:val="32"/>
        </w:rPr>
        <w:t>“</w:t>
      </w:r>
      <w:r w:rsidR="00E63386" w:rsidRPr="0052090C">
        <w:rPr>
          <w:b/>
          <w:bCs/>
          <w:sz w:val="32"/>
          <w:szCs w:val="32"/>
        </w:rPr>
        <w:t xml:space="preserve">OCCUPAZIONE AUMENTA MA NON MIGLIORA IL GAP DI GENERE CHE IL PAESE </w:t>
      </w:r>
      <w:r w:rsidR="0052090C" w:rsidRPr="0052090C">
        <w:rPr>
          <w:b/>
          <w:bCs/>
          <w:sz w:val="32"/>
          <w:szCs w:val="32"/>
        </w:rPr>
        <w:t>NON SI PUO’ PIU’ PERMETTERE</w:t>
      </w:r>
      <w:r w:rsidR="00B75BEC" w:rsidRPr="0052090C">
        <w:rPr>
          <w:b/>
          <w:bCs/>
          <w:sz w:val="32"/>
          <w:szCs w:val="32"/>
        </w:rPr>
        <w:t>”</w:t>
      </w:r>
    </w:p>
    <w:p w14:paraId="6D924C81" w14:textId="26F5224F" w:rsidR="00E013CB" w:rsidRPr="00B75BEC" w:rsidRDefault="00E013CB" w:rsidP="00E013CB">
      <w:pPr>
        <w:jc w:val="both"/>
        <w:rPr>
          <w:i/>
          <w:iCs/>
          <w:sz w:val="24"/>
          <w:szCs w:val="24"/>
        </w:rPr>
      </w:pPr>
      <w:r w:rsidRPr="00B75BEC">
        <w:rPr>
          <w:i/>
          <w:iCs/>
          <w:sz w:val="24"/>
          <w:szCs w:val="24"/>
        </w:rPr>
        <w:t>Nonostante l’incremento numerico delle donne nel mercato del lavoro (il tasso di occupazione femminile tra i 15-64 anni ha raggiunto il 52,5% con +1,4</w:t>
      </w:r>
      <w:r w:rsidR="00CF3BAE">
        <w:rPr>
          <w:i/>
          <w:iCs/>
          <w:sz w:val="24"/>
          <w:szCs w:val="24"/>
        </w:rPr>
        <w:t xml:space="preserve"> punti percentuali</w:t>
      </w:r>
      <w:r w:rsidRPr="00B75BEC">
        <w:rPr>
          <w:i/>
          <w:iCs/>
          <w:sz w:val="24"/>
          <w:szCs w:val="24"/>
        </w:rPr>
        <w:t xml:space="preserve"> dall’anno precedente), le problematiche che </w:t>
      </w:r>
      <w:r w:rsidR="00586C15" w:rsidRPr="00B75BEC">
        <w:rPr>
          <w:i/>
          <w:iCs/>
          <w:sz w:val="24"/>
          <w:szCs w:val="24"/>
        </w:rPr>
        <w:t>c</w:t>
      </w:r>
      <w:r w:rsidRPr="00B75BEC">
        <w:rPr>
          <w:i/>
          <w:iCs/>
          <w:sz w:val="24"/>
          <w:szCs w:val="24"/>
        </w:rPr>
        <w:t>ontinuano a determinare i gender gap nel mercato del lavoro non appaiono risolte</w:t>
      </w:r>
      <w:r w:rsidR="00B75BEC" w:rsidRPr="00B75BEC">
        <w:rPr>
          <w:i/>
          <w:iCs/>
          <w:sz w:val="24"/>
          <w:szCs w:val="24"/>
        </w:rPr>
        <w:t xml:space="preserve">. </w:t>
      </w:r>
      <w:r w:rsidR="00B75BEC" w:rsidRPr="00B75BEC">
        <w:rPr>
          <w:rFonts w:ascii="Calibri" w:hAnsi="Calibri" w:cs="Calibri"/>
          <w:i/>
          <w:iCs/>
          <w:sz w:val="24"/>
          <w:szCs w:val="24"/>
        </w:rPr>
        <w:t>N</w:t>
      </w:r>
      <w:r w:rsidR="00B75BEC" w:rsidRPr="00B75BEC">
        <w:rPr>
          <w:i/>
          <w:iCs/>
          <w:sz w:val="24"/>
          <w:szCs w:val="24"/>
        </w:rPr>
        <w:t>el primo semestre 2024 sono state attivate 4.294.151 nuove assunzioni, di cui solo il 42% a donne. Il 24,4% di tutte le assunzioni è avvenuto tramite incentivo</w:t>
      </w:r>
    </w:p>
    <w:p w14:paraId="208CD687" w14:textId="02C6F100" w:rsidR="001E5814" w:rsidRPr="00B75BEC" w:rsidRDefault="001E5814" w:rsidP="001E5814">
      <w:pPr>
        <w:jc w:val="both"/>
        <w:rPr>
          <w:rFonts w:ascii="Calibri" w:hAnsi="Calibri" w:cs="Calibri"/>
          <w:sz w:val="24"/>
          <w:szCs w:val="24"/>
        </w:rPr>
      </w:pPr>
      <w:r w:rsidRPr="00B75BEC">
        <w:rPr>
          <w:sz w:val="24"/>
          <w:szCs w:val="24"/>
        </w:rPr>
        <w:t>Roma, 16 dicembre 2024 – Nonostante l’incremento numerico delle donne nel mercato del lavoro (il tasso di occupazione femminile tra i 15-64 anni ha raggiunto il 52,5% con +1,4</w:t>
      </w:r>
      <w:r w:rsidR="00CF3BAE">
        <w:rPr>
          <w:sz w:val="24"/>
          <w:szCs w:val="24"/>
        </w:rPr>
        <w:t xml:space="preserve"> punti percentuali</w:t>
      </w:r>
      <w:r w:rsidRPr="00B75BEC">
        <w:rPr>
          <w:sz w:val="24"/>
          <w:szCs w:val="24"/>
        </w:rPr>
        <w:t xml:space="preserve"> dall’anno precedente), le problematiche che hanno determinato e continuano a determinare i gender gap nel mercato del lavoro non appaiono risolte. Il </w:t>
      </w:r>
      <w:proofErr w:type="gramStart"/>
      <w:r w:rsidRPr="00B75BEC">
        <w:rPr>
          <w:sz w:val="24"/>
          <w:szCs w:val="24"/>
        </w:rPr>
        <w:t>gap</w:t>
      </w:r>
      <w:proofErr w:type="gramEnd"/>
      <w:r w:rsidRPr="00B75BEC">
        <w:rPr>
          <w:sz w:val="24"/>
          <w:szCs w:val="24"/>
        </w:rPr>
        <w:t xml:space="preserve"> di genere tra i tassi di occupazione resta mediamente a</w:t>
      </w:r>
      <w:r w:rsidR="003857A7">
        <w:rPr>
          <w:sz w:val="24"/>
          <w:szCs w:val="24"/>
        </w:rPr>
        <w:t xml:space="preserve"> 18 punti percentuali </w:t>
      </w:r>
      <w:r w:rsidR="00BB436F">
        <w:rPr>
          <w:sz w:val="24"/>
          <w:szCs w:val="24"/>
        </w:rPr>
        <w:t>di differenza</w:t>
      </w:r>
      <w:r w:rsidRPr="00B75BEC">
        <w:rPr>
          <w:sz w:val="24"/>
          <w:szCs w:val="24"/>
        </w:rPr>
        <w:t xml:space="preserve"> e nonostante il leggero calo annuale del tasso dell’inattività, ad oggi il 64% dell’inattività in Italia continua ad essere femminile e motivato prevalentemente da esigenze di carattere familiare. </w:t>
      </w:r>
      <w:r w:rsidRPr="00245287">
        <w:rPr>
          <w:rFonts w:ascii="Calibri" w:hAnsi="Calibri" w:cs="Calibri"/>
          <w:b/>
          <w:bCs/>
          <w:sz w:val="24"/>
          <w:szCs w:val="24"/>
        </w:rPr>
        <w:t>Non lavorano per motivi di cura il 34% delle donne e il 2,8% degli uomini tra i 15 e 64 anni e il 43,7% delle donne e il 4% degli uomini tra i 25-34 anni</w:t>
      </w:r>
      <w:r w:rsidRPr="00B75BEC">
        <w:rPr>
          <w:rFonts w:ascii="Calibri" w:hAnsi="Calibri" w:cs="Calibri"/>
          <w:sz w:val="24"/>
          <w:szCs w:val="24"/>
        </w:rPr>
        <w:t xml:space="preserve"> (classe di età della fecondità media femminile). </w:t>
      </w:r>
      <w:r w:rsidRPr="00B75BEC">
        <w:rPr>
          <w:sz w:val="24"/>
          <w:szCs w:val="24"/>
        </w:rPr>
        <w:t>La motivazione prevalente dell’inattività maschile resta invece lo studio e la formazione</w:t>
      </w:r>
      <w:r w:rsidRPr="00B75BEC">
        <w:rPr>
          <w:rFonts w:ascii="Calibri" w:hAnsi="Calibri" w:cs="Calibri"/>
          <w:sz w:val="24"/>
          <w:szCs w:val="24"/>
        </w:rPr>
        <w:t>. Sono le principali evidenze emerse dal nuovo Gender Policy Report curato dall’INAPP.</w:t>
      </w:r>
    </w:p>
    <w:p w14:paraId="1BDA36DC" w14:textId="288CADD1" w:rsidR="001E5814" w:rsidRPr="00B75BEC" w:rsidRDefault="001E5814" w:rsidP="001E5814">
      <w:pPr>
        <w:jc w:val="both"/>
        <w:rPr>
          <w:sz w:val="24"/>
          <w:szCs w:val="24"/>
        </w:rPr>
      </w:pPr>
      <w:r w:rsidRPr="00B75BEC">
        <w:rPr>
          <w:sz w:val="24"/>
          <w:szCs w:val="24"/>
        </w:rPr>
        <w:t>In particolare</w:t>
      </w:r>
      <w:r w:rsidR="00B75BEC" w:rsidRPr="00B75BEC">
        <w:rPr>
          <w:sz w:val="24"/>
          <w:szCs w:val="24"/>
        </w:rPr>
        <w:t>,</w:t>
      </w:r>
      <w:r w:rsidRPr="00B75BEC">
        <w:rPr>
          <w:sz w:val="24"/>
          <w:szCs w:val="24"/>
        </w:rPr>
        <w:t xml:space="preserve"> i</w:t>
      </w:r>
      <w:r w:rsidR="00E013CB" w:rsidRPr="00B75BEC">
        <w:rPr>
          <w:sz w:val="24"/>
          <w:szCs w:val="24"/>
        </w:rPr>
        <w:t>l Rapporto</w:t>
      </w:r>
      <w:r w:rsidRPr="00B75BEC">
        <w:rPr>
          <w:sz w:val="24"/>
          <w:szCs w:val="24"/>
        </w:rPr>
        <w:t xml:space="preserve"> mette in luce che </w:t>
      </w:r>
      <w:r w:rsidRPr="00B75BEC">
        <w:rPr>
          <w:rFonts w:ascii="Calibri" w:hAnsi="Calibri" w:cs="Calibri"/>
          <w:sz w:val="24"/>
          <w:szCs w:val="24"/>
        </w:rPr>
        <w:t>n</w:t>
      </w:r>
      <w:r w:rsidR="00E013CB" w:rsidRPr="00B75BEC">
        <w:rPr>
          <w:sz w:val="24"/>
          <w:szCs w:val="24"/>
        </w:rPr>
        <w:t xml:space="preserve">el primo semestre 2024 sono state attivate 4.294.151 nuove assunzioni, di cui </w:t>
      </w:r>
      <w:r w:rsidR="00634551" w:rsidRPr="00B75BEC">
        <w:rPr>
          <w:sz w:val="24"/>
          <w:szCs w:val="24"/>
        </w:rPr>
        <w:t xml:space="preserve">solo </w:t>
      </w:r>
      <w:r w:rsidR="00E013CB" w:rsidRPr="00B75BEC">
        <w:rPr>
          <w:sz w:val="24"/>
          <w:szCs w:val="24"/>
        </w:rPr>
        <w:t xml:space="preserve">il 42% a donne. Il 24,4% di </w:t>
      </w:r>
      <w:r w:rsidR="00634551" w:rsidRPr="00B75BEC">
        <w:rPr>
          <w:sz w:val="24"/>
          <w:szCs w:val="24"/>
        </w:rPr>
        <w:t>tutte le</w:t>
      </w:r>
      <w:r w:rsidR="00E013CB" w:rsidRPr="00B75BEC">
        <w:rPr>
          <w:sz w:val="24"/>
          <w:szCs w:val="24"/>
        </w:rPr>
        <w:t xml:space="preserve"> assunzioni è avvenuto tramite incentivo</w:t>
      </w:r>
      <w:r w:rsidR="00A149EE" w:rsidRPr="00B75BEC">
        <w:rPr>
          <w:sz w:val="24"/>
          <w:szCs w:val="24"/>
        </w:rPr>
        <w:t>, ma nonostante la politica agevolativa</w:t>
      </w:r>
      <w:r w:rsidR="00634551" w:rsidRPr="00B75BEC">
        <w:rPr>
          <w:sz w:val="24"/>
          <w:szCs w:val="24"/>
        </w:rPr>
        <w:t xml:space="preserve"> </w:t>
      </w:r>
      <w:r w:rsidR="00A149EE" w:rsidRPr="00B75BEC">
        <w:rPr>
          <w:b/>
          <w:bCs/>
          <w:sz w:val="24"/>
          <w:szCs w:val="24"/>
        </w:rPr>
        <w:t>r</w:t>
      </w:r>
      <w:r w:rsidR="00E013CB" w:rsidRPr="00B75BEC">
        <w:rPr>
          <w:b/>
          <w:bCs/>
          <w:sz w:val="24"/>
          <w:szCs w:val="24"/>
        </w:rPr>
        <w:t xml:space="preserve">estano critici </w:t>
      </w:r>
      <w:r w:rsidR="00B21409" w:rsidRPr="00B75BEC">
        <w:rPr>
          <w:b/>
          <w:bCs/>
          <w:sz w:val="24"/>
          <w:szCs w:val="24"/>
        </w:rPr>
        <w:t>tre</w:t>
      </w:r>
      <w:r w:rsidR="00E013CB" w:rsidRPr="00B75BEC">
        <w:rPr>
          <w:b/>
          <w:bCs/>
          <w:sz w:val="24"/>
          <w:szCs w:val="24"/>
        </w:rPr>
        <w:t xml:space="preserve"> indicatori di qualità del lavoro</w:t>
      </w:r>
      <w:r w:rsidR="00E013CB" w:rsidRPr="00B75BEC">
        <w:rPr>
          <w:sz w:val="24"/>
          <w:szCs w:val="24"/>
        </w:rPr>
        <w:t>:</w:t>
      </w:r>
      <w:r w:rsidRPr="00B75BEC">
        <w:rPr>
          <w:sz w:val="24"/>
          <w:szCs w:val="24"/>
        </w:rPr>
        <w:t xml:space="preserve"> </w:t>
      </w:r>
    </w:p>
    <w:p w14:paraId="6DBBF31B" w14:textId="786EF04B" w:rsidR="001E5814" w:rsidRPr="00B75BEC" w:rsidRDefault="001E5814" w:rsidP="001E5814">
      <w:pPr>
        <w:jc w:val="both"/>
        <w:rPr>
          <w:rFonts w:ascii="Calibri" w:hAnsi="Calibri" w:cs="Calibri"/>
          <w:sz w:val="24"/>
          <w:szCs w:val="24"/>
        </w:rPr>
      </w:pPr>
      <w:r w:rsidRPr="00B75BEC">
        <w:rPr>
          <w:sz w:val="24"/>
          <w:szCs w:val="24"/>
        </w:rPr>
        <w:t xml:space="preserve">1) </w:t>
      </w:r>
      <w:r w:rsidR="00E013CB" w:rsidRPr="00B75BEC">
        <w:rPr>
          <w:rFonts w:ascii="Calibri" w:hAnsi="Calibri" w:cs="Calibri"/>
          <w:sz w:val="24"/>
          <w:szCs w:val="24"/>
        </w:rPr>
        <w:t xml:space="preserve">Livello di stabilità dell’occupazione. </w:t>
      </w:r>
      <w:r w:rsidR="0027362B" w:rsidRPr="00B75BEC">
        <w:rPr>
          <w:rFonts w:ascii="Calibri" w:hAnsi="Calibri" w:cs="Calibri"/>
          <w:sz w:val="24"/>
          <w:szCs w:val="24"/>
        </w:rPr>
        <w:t xml:space="preserve">La modalità prevalente di assunzione </w:t>
      </w:r>
      <w:r w:rsidR="00F17773" w:rsidRPr="00B75BEC">
        <w:rPr>
          <w:rFonts w:ascii="Calibri" w:hAnsi="Calibri" w:cs="Calibri"/>
          <w:sz w:val="24"/>
          <w:szCs w:val="24"/>
        </w:rPr>
        <w:t xml:space="preserve">resta </w:t>
      </w:r>
      <w:r w:rsidR="0027362B" w:rsidRPr="00B75BEC">
        <w:rPr>
          <w:rFonts w:ascii="Calibri" w:hAnsi="Calibri" w:cs="Calibri"/>
          <w:sz w:val="24"/>
          <w:szCs w:val="24"/>
        </w:rPr>
        <w:t xml:space="preserve">il tempo determinato (45,5% per uomini e 40,4% per donne). </w:t>
      </w:r>
      <w:r w:rsidR="00E013CB" w:rsidRPr="00B75BEC">
        <w:rPr>
          <w:rFonts w:ascii="Calibri" w:hAnsi="Calibri" w:cs="Calibri"/>
          <w:sz w:val="24"/>
          <w:szCs w:val="24"/>
        </w:rPr>
        <w:t>Il tempo indeterminato</w:t>
      </w:r>
      <w:r w:rsidR="00634551" w:rsidRPr="00B75BEC">
        <w:rPr>
          <w:rFonts w:ascii="Calibri" w:hAnsi="Calibri" w:cs="Calibri"/>
          <w:sz w:val="24"/>
          <w:szCs w:val="24"/>
        </w:rPr>
        <w:t xml:space="preserve"> copre il 18,3% delle assunzioni maschili e solo il 13,5% di quelle femminili</w:t>
      </w:r>
      <w:r w:rsidR="0027362B" w:rsidRPr="00B75BEC">
        <w:rPr>
          <w:rFonts w:ascii="Calibri" w:hAnsi="Calibri" w:cs="Calibri"/>
          <w:sz w:val="24"/>
          <w:szCs w:val="24"/>
        </w:rPr>
        <w:t>,</w:t>
      </w:r>
      <w:r w:rsidR="00634551" w:rsidRPr="00B75BEC">
        <w:rPr>
          <w:rFonts w:ascii="Calibri" w:hAnsi="Calibri" w:cs="Calibri"/>
          <w:sz w:val="24"/>
          <w:szCs w:val="24"/>
        </w:rPr>
        <w:t xml:space="preserve"> </w:t>
      </w:r>
      <w:r w:rsidR="0027362B" w:rsidRPr="00B75BEC">
        <w:rPr>
          <w:rFonts w:ascii="Calibri" w:hAnsi="Calibri" w:cs="Calibri"/>
          <w:sz w:val="24"/>
          <w:szCs w:val="24"/>
        </w:rPr>
        <w:t>quota inferiore ai contratti stagionali (17,6%).</w:t>
      </w:r>
    </w:p>
    <w:p w14:paraId="0451FC0A" w14:textId="77777777" w:rsidR="001E5814" w:rsidRPr="00B75BEC" w:rsidRDefault="001E5814" w:rsidP="001E5814">
      <w:pPr>
        <w:jc w:val="both"/>
        <w:rPr>
          <w:rFonts w:ascii="Calibri" w:hAnsi="Calibri" w:cs="Calibri"/>
          <w:sz w:val="24"/>
          <w:szCs w:val="24"/>
        </w:rPr>
      </w:pPr>
      <w:r w:rsidRPr="00B75BEC">
        <w:rPr>
          <w:rFonts w:ascii="Calibri" w:hAnsi="Calibri" w:cs="Calibri"/>
          <w:sz w:val="24"/>
          <w:szCs w:val="24"/>
        </w:rPr>
        <w:t xml:space="preserve">2) </w:t>
      </w:r>
      <w:r w:rsidR="00E013CB" w:rsidRPr="00B75BEC">
        <w:rPr>
          <w:rFonts w:ascii="Calibri" w:hAnsi="Calibri" w:cs="Calibri"/>
          <w:sz w:val="24"/>
          <w:szCs w:val="24"/>
        </w:rPr>
        <w:t xml:space="preserve">Incidenza del part time. </w:t>
      </w:r>
      <w:r w:rsidR="0027362B" w:rsidRPr="00B75BEC">
        <w:rPr>
          <w:rFonts w:ascii="Calibri" w:hAnsi="Calibri" w:cs="Calibri"/>
          <w:sz w:val="24"/>
          <w:szCs w:val="24"/>
        </w:rPr>
        <w:t>Di tutti i contratti a donne (che sono il 42% del totale), sono a part time quasi la metà (49,2% contro il 27,3% degli uomini)</w:t>
      </w:r>
      <w:r w:rsidR="002B580A" w:rsidRPr="00B75BEC">
        <w:rPr>
          <w:rFonts w:ascii="Calibri" w:hAnsi="Calibri" w:cs="Calibri"/>
          <w:sz w:val="24"/>
          <w:szCs w:val="24"/>
        </w:rPr>
        <w:t xml:space="preserve">. </w:t>
      </w:r>
    </w:p>
    <w:p w14:paraId="7A74FB1B" w14:textId="0148BE26" w:rsidR="00B21409" w:rsidRPr="00B75BEC" w:rsidRDefault="001E5814" w:rsidP="001E5814">
      <w:pPr>
        <w:jc w:val="both"/>
        <w:rPr>
          <w:rFonts w:ascii="Calibri" w:hAnsi="Calibri" w:cs="Calibri"/>
          <w:sz w:val="24"/>
          <w:szCs w:val="24"/>
        </w:rPr>
      </w:pPr>
      <w:r w:rsidRPr="00B75BEC">
        <w:rPr>
          <w:rFonts w:ascii="Calibri" w:hAnsi="Calibri" w:cs="Calibri"/>
          <w:sz w:val="24"/>
          <w:szCs w:val="24"/>
        </w:rPr>
        <w:t xml:space="preserve">3) </w:t>
      </w:r>
      <w:r w:rsidR="00B21409" w:rsidRPr="00B75BEC">
        <w:rPr>
          <w:rFonts w:ascii="Calibri" w:hAnsi="Calibri" w:cs="Calibri"/>
          <w:sz w:val="24"/>
          <w:szCs w:val="24"/>
        </w:rPr>
        <w:t xml:space="preserve">La </w:t>
      </w:r>
      <w:r w:rsidR="00A149EE" w:rsidRPr="00B75BEC">
        <w:rPr>
          <w:rFonts w:ascii="Calibri" w:hAnsi="Calibri" w:cs="Calibri"/>
          <w:sz w:val="24"/>
          <w:szCs w:val="24"/>
        </w:rPr>
        <w:t>“</w:t>
      </w:r>
      <w:r w:rsidR="00B21409" w:rsidRPr="00B75BEC">
        <w:rPr>
          <w:rFonts w:ascii="Calibri" w:hAnsi="Calibri" w:cs="Calibri"/>
          <w:sz w:val="24"/>
          <w:szCs w:val="24"/>
        </w:rPr>
        <w:t>doppia debolezza</w:t>
      </w:r>
      <w:r w:rsidR="00A149EE" w:rsidRPr="00B75BEC">
        <w:rPr>
          <w:rFonts w:ascii="Calibri" w:hAnsi="Calibri" w:cs="Calibri"/>
          <w:sz w:val="24"/>
          <w:szCs w:val="24"/>
        </w:rPr>
        <w:t>”</w:t>
      </w:r>
      <w:r w:rsidR="00B21409" w:rsidRPr="00B75BEC">
        <w:rPr>
          <w:rFonts w:ascii="Calibri" w:hAnsi="Calibri" w:cs="Calibri"/>
          <w:sz w:val="24"/>
          <w:szCs w:val="24"/>
        </w:rPr>
        <w:t xml:space="preserve"> di </w:t>
      </w:r>
      <w:r w:rsidR="00A149EE" w:rsidRPr="00B75BEC">
        <w:rPr>
          <w:rFonts w:ascii="Calibri" w:hAnsi="Calibri" w:cs="Calibri"/>
          <w:sz w:val="24"/>
          <w:szCs w:val="24"/>
        </w:rPr>
        <w:t>tempo determinato</w:t>
      </w:r>
      <w:r w:rsidR="00B21409" w:rsidRPr="00B75BEC">
        <w:rPr>
          <w:rFonts w:ascii="Calibri" w:hAnsi="Calibri" w:cs="Calibri"/>
          <w:sz w:val="24"/>
          <w:szCs w:val="24"/>
        </w:rPr>
        <w:t xml:space="preserve"> </w:t>
      </w:r>
      <w:r w:rsidR="00A149EE" w:rsidRPr="00B75BEC">
        <w:rPr>
          <w:rFonts w:ascii="Calibri" w:hAnsi="Calibri" w:cs="Calibri"/>
          <w:sz w:val="24"/>
          <w:szCs w:val="24"/>
        </w:rPr>
        <w:t>associato a</w:t>
      </w:r>
      <w:r w:rsidR="00B21409" w:rsidRPr="00B75BEC">
        <w:rPr>
          <w:rFonts w:ascii="Calibri" w:hAnsi="Calibri" w:cs="Calibri"/>
          <w:sz w:val="24"/>
          <w:szCs w:val="24"/>
        </w:rPr>
        <w:t xml:space="preserve"> part time</w:t>
      </w:r>
      <w:r w:rsidR="00F17773" w:rsidRPr="00B75BEC">
        <w:rPr>
          <w:rFonts w:ascii="Calibri" w:hAnsi="Calibri" w:cs="Calibri"/>
          <w:sz w:val="24"/>
          <w:szCs w:val="24"/>
        </w:rPr>
        <w:t xml:space="preserve"> colpisce soprattutto le donne.</w:t>
      </w:r>
      <w:r w:rsidR="00B21409" w:rsidRPr="00B75BEC">
        <w:rPr>
          <w:rFonts w:ascii="Calibri" w:hAnsi="Calibri" w:cs="Calibri"/>
          <w:sz w:val="24"/>
          <w:szCs w:val="24"/>
        </w:rPr>
        <w:t xml:space="preserve"> S</w:t>
      </w:r>
      <w:r w:rsidR="002B580A" w:rsidRPr="00B75BEC">
        <w:rPr>
          <w:rFonts w:ascii="Calibri" w:hAnsi="Calibri" w:cs="Calibri"/>
          <w:sz w:val="24"/>
          <w:szCs w:val="24"/>
        </w:rPr>
        <w:t xml:space="preserve">ono a part time il 64,5% dei contratti a termine delle donne contro il 33% </w:t>
      </w:r>
      <w:r w:rsidR="002B580A" w:rsidRPr="00CF3BAE">
        <w:rPr>
          <w:rFonts w:ascii="Calibri" w:hAnsi="Calibri" w:cs="Calibri"/>
          <w:sz w:val="24"/>
          <w:szCs w:val="24"/>
        </w:rPr>
        <w:t>degli uomini</w:t>
      </w:r>
      <w:r w:rsidR="00CF3BAE" w:rsidRPr="00CF3BAE">
        <w:rPr>
          <w:rFonts w:ascii="Calibri" w:hAnsi="Calibri" w:cs="Calibri"/>
          <w:sz w:val="24"/>
          <w:szCs w:val="24"/>
        </w:rPr>
        <w:t>.</w:t>
      </w:r>
      <w:r w:rsidR="00CF3BAE">
        <w:rPr>
          <w:rFonts w:ascii="Calibri" w:hAnsi="Calibri" w:cs="Calibri"/>
          <w:sz w:val="24"/>
          <w:szCs w:val="24"/>
        </w:rPr>
        <w:t xml:space="preserve"> </w:t>
      </w:r>
    </w:p>
    <w:p w14:paraId="69BA7B0F" w14:textId="217879BE" w:rsidR="001E5814" w:rsidRPr="00B75BEC" w:rsidRDefault="001E5814" w:rsidP="001E5814">
      <w:pPr>
        <w:pStyle w:val="Paragrafoelenco"/>
        <w:spacing w:after="0" w:line="276" w:lineRule="auto"/>
        <w:ind w:left="0"/>
        <w:jc w:val="both"/>
        <w:rPr>
          <w:rFonts w:ascii="Calibri" w:hAnsi="Calibri" w:cs="Calibri"/>
          <w:color w:val="000000" w:themeColor="text1"/>
          <w:sz w:val="24"/>
          <w:szCs w:val="24"/>
        </w:rPr>
      </w:pPr>
      <w:r w:rsidRPr="00B75BEC">
        <w:rPr>
          <w:sz w:val="24"/>
          <w:szCs w:val="24"/>
        </w:rPr>
        <w:t xml:space="preserve">Nel Rapporto si evidenzia </w:t>
      </w:r>
      <w:r w:rsidRPr="00CF3BAE">
        <w:rPr>
          <w:sz w:val="24"/>
          <w:szCs w:val="24"/>
        </w:rPr>
        <w:t>inoltr</w:t>
      </w:r>
      <w:r w:rsidR="00CF3BAE" w:rsidRPr="00CF3BAE">
        <w:rPr>
          <w:sz w:val="24"/>
          <w:szCs w:val="24"/>
        </w:rPr>
        <w:t>e</w:t>
      </w:r>
      <w:r w:rsidRPr="00B75BEC">
        <w:rPr>
          <w:sz w:val="24"/>
          <w:szCs w:val="24"/>
        </w:rPr>
        <w:t xml:space="preserve"> l</w:t>
      </w:r>
      <w:r w:rsidR="00E013CB" w:rsidRPr="00B75BEC">
        <w:rPr>
          <w:sz w:val="24"/>
          <w:szCs w:val="24"/>
        </w:rPr>
        <w:t xml:space="preserve">o squilibrio dei carichi di cura tra uomini e donne </w:t>
      </w:r>
      <w:r w:rsidRPr="00B75BEC">
        <w:rPr>
          <w:sz w:val="24"/>
          <w:szCs w:val="24"/>
        </w:rPr>
        <w:t xml:space="preserve">che </w:t>
      </w:r>
      <w:r w:rsidR="003B1842" w:rsidRPr="00B75BEC">
        <w:rPr>
          <w:sz w:val="24"/>
          <w:szCs w:val="24"/>
        </w:rPr>
        <w:t xml:space="preserve">continua ad avere </w:t>
      </w:r>
      <w:r w:rsidR="00E013CB" w:rsidRPr="00B75BEC">
        <w:rPr>
          <w:sz w:val="24"/>
          <w:szCs w:val="24"/>
        </w:rPr>
        <w:t xml:space="preserve">ripercussioni su occupazione e redditi. </w:t>
      </w:r>
      <w:r w:rsidR="003B1842" w:rsidRPr="00B75BEC">
        <w:rPr>
          <w:sz w:val="24"/>
          <w:szCs w:val="24"/>
        </w:rPr>
        <w:t xml:space="preserve"> Secondo l’indagine Inapp Plus, a</w:t>
      </w:r>
      <w:r w:rsidR="00E013CB" w:rsidRPr="00B75BEC">
        <w:rPr>
          <w:sz w:val="24"/>
          <w:szCs w:val="24"/>
        </w:rPr>
        <w:t xml:space="preserve"> seguito della maternità il 16% delle donne smette di lavorare, contro il 2,8% degli uomini.</w:t>
      </w:r>
      <w:r w:rsidR="003B1842" w:rsidRPr="00B75BEC">
        <w:rPr>
          <w:sz w:val="24"/>
          <w:szCs w:val="24"/>
        </w:rPr>
        <w:t xml:space="preserve"> </w:t>
      </w:r>
      <w:r w:rsidR="00E013CB" w:rsidRPr="00B75BEC">
        <w:rPr>
          <w:sz w:val="24"/>
          <w:szCs w:val="24"/>
        </w:rPr>
        <w:t xml:space="preserve">I congedi parentali sono richiesti per l’80% da donne, </w:t>
      </w:r>
      <w:r w:rsidR="003B1842" w:rsidRPr="00B75BEC">
        <w:rPr>
          <w:sz w:val="24"/>
          <w:szCs w:val="24"/>
        </w:rPr>
        <w:t>ma</w:t>
      </w:r>
      <w:r w:rsidR="00E013CB" w:rsidRPr="00B75BEC">
        <w:rPr>
          <w:sz w:val="24"/>
          <w:szCs w:val="24"/>
        </w:rPr>
        <w:t xml:space="preserve"> essendo a parziale copertura della retribuzione determinano, secondo le stime Inapp Plus</w:t>
      </w:r>
      <w:r w:rsidR="003B1842" w:rsidRPr="00B75BEC">
        <w:rPr>
          <w:sz w:val="24"/>
          <w:szCs w:val="24"/>
        </w:rPr>
        <w:t>,</w:t>
      </w:r>
      <w:r w:rsidR="00E013CB" w:rsidRPr="00B75BEC">
        <w:rPr>
          <w:sz w:val="24"/>
          <w:szCs w:val="24"/>
        </w:rPr>
        <w:t xml:space="preserve"> un gender </w:t>
      </w:r>
      <w:proofErr w:type="spellStart"/>
      <w:r w:rsidR="00E013CB" w:rsidRPr="00B75BEC">
        <w:rPr>
          <w:sz w:val="24"/>
          <w:szCs w:val="24"/>
        </w:rPr>
        <w:t>pay</w:t>
      </w:r>
      <w:proofErr w:type="spellEnd"/>
      <w:r w:rsidR="00E013CB" w:rsidRPr="00B75BEC">
        <w:rPr>
          <w:sz w:val="24"/>
          <w:szCs w:val="24"/>
        </w:rPr>
        <w:t xml:space="preserve"> gap (grezzo) di 5mila euro.  </w:t>
      </w:r>
      <w:r w:rsidRPr="00B75BEC">
        <w:rPr>
          <w:sz w:val="24"/>
          <w:szCs w:val="24"/>
        </w:rPr>
        <w:t xml:space="preserve">Altro aspetto da prendere in </w:t>
      </w:r>
      <w:r w:rsidRPr="00B75BEC">
        <w:rPr>
          <w:sz w:val="24"/>
          <w:szCs w:val="24"/>
        </w:rPr>
        <w:lastRenderedPageBreak/>
        <w:t>considerazione è i</w:t>
      </w:r>
      <w:r w:rsidR="00E013CB" w:rsidRPr="00B75BEC">
        <w:rPr>
          <w:b/>
          <w:bCs/>
          <w:sz w:val="24"/>
          <w:szCs w:val="24"/>
        </w:rPr>
        <w:t>l lavoro povero</w:t>
      </w:r>
      <w:r w:rsidR="003B1842" w:rsidRPr="00B75BEC">
        <w:rPr>
          <w:b/>
          <w:bCs/>
          <w:sz w:val="24"/>
          <w:szCs w:val="24"/>
        </w:rPr>
        <w:t xml:space="preserve"> </w:t>
      </w:r>
      <w:r w:rsidRPr="00B75BEC">
        <w:rPr>
          <w:b/>
          <w:bCs/>
          <w:sz w:val="24"/>
          <w:szCs w:val="24"/>
        </w:rPr>
        <w:t xml:space="preserve">che </w:t>
      </w:r>
      <w:r w:rsidR="003B1842" w:rsidRPr="00B75BEC">
        <w:rPr>
          <w:b/>
          <w:bCs/>
          <w:sz w:val="24"/>
          <w:szCs w:val="24"/>
        </w:rPr>
        <w:t>ha una forte connotazione di genere</w:t>
      </w:r>
      <w:r w:rsidR="003B1842" w:rsidRPr="00B75BEC">
        <w:rPr>
          <w:sz w:val="24"/>
          <w:szCs w:val="24"/>
        </w:rPr>
        <w:t xml:space="preserve">: </w:t>
      </w:r>
      <w:r w:rsidR="00BD33DD" w:rsidRPr="00B75BEC">
        <w:rPr>
          <w:sz w:val="24"/>
          <w:szCs w:val="24"/>
        </w:rPr>
        <w:t xml:space="preserve">per le donne, date le caratteristiche della loro partecipazione (in primis </w:t>
      </w:r>
      <w:r w:rsidR="00BD33DD" w:rsidRPr="00B75BEC">
        <w:rPr>
          <w:rFonts w:ascii="Calibri" w:hAnsi="Calibri" w:cs="Calibri"/>
          <w:color w:val="000000" w:themeColor="text1"/>
          <w:sz w:val="24"/>
          <w:szCs w:val="24"/>
        </w:rPr>
        <w:t>basse retribuzioni orarie e bassa intensità lavorativa),</w:t>
      </w:r>
      <w:r w:rsidR="00BD33DD" w:rsidRPr="00B75BEC">
        <w:rPr>
          <w:sz w:val="24"/>
          <w:szCs w:val="24"/>
        </w:rPr>
        <w:t xml:space="preserve"> </w:t>
      </w:r>
      <w:r w:rsidR="009E3F6F" w:rsidRPr="00B75BEC">
        <w:rPr>
          <w:rFonts w:ascii="Calibri" w:hAnsi="Calibri" w:cs="Calibri"/>
          <w:color w:val="000000" w:themeColor="text1"/>
          <w:sz w:val="24"/>
          <w:szCs w:val="24"/>
        </w:rPr>
        <w:t>l’incidenza del lavoro a bassa paga è circa il triplo di quella che si registra sull’occupazione maschile (</w:t>
      </w:r>
      <w:r w:rsidR="00BD33DD" w:rsidRPr="00B75BEC">
        <w:rPr>
          <w:rFonts w:ascii="Calibri" w:hAnsi="Calibri" w:cs="Calibri"/>
          <w:color w:val="000000" w:themeColor="text1"/>
          <w:sz w:val="24"/>
          <w:szCs w:val="24"/>
        </w:rPr>
        <w:t xml:space="preserve">18,5% contro </w:t>
      </w:r>
      <w:r w:rsidR="009E3F6F" w:rsidRPr="00B75BEC">
        <w:rPr>
          <w:rFonts w:ascii="Calibri" w:hAnsi="Calibri" w:cs="Calibri"/>
          <w:color w:val="000000" w:themeColor="text1"/>
          <w:sz w:val="24"/>
          <w:szCs w:val="24"/>
        </w:rPr>
        <w:t>6,4%)</w:t>
      </w:r>
      <w:r w:rsidR="00BD33DD" w:rsidRPr="00B75BEC">
        <w:rPr>
          <w:rFonts w:ascii="Calibri" w:hAnsi="Calibri" w:cs="Calibri"/>
          <w:color w:val="000000" w:themeColor="text1"/>
          <w:sz w:val="24"/>
          <w:szCs w:val="24"/>
        </w:rPr>
        <w:t>.</w:t>
      </w:r>
    </w:p>
    <w:p w14:paraId="3F3D21E4" w14:textId="77777777" w:rsidR="001E5814" w:rsidRPr="00B75BEC" w:rsidRDefault="001E5814" w:rsidP="001E5814">
      <w:pPr>
        <w:pStyle w:val="Paragrafoelenco"/>
        <w:spacing w:after="0" w:line="276" w:lineRule="auto"/>
        <w:ind w:left="0"/>
        <w:jc w:val="both"/>
        <w:rPr>
          <w:sz w:val="24"/>
          <w:szCs w:val="24"/>
        </w:rPr>
      </w:pPr>
    </w:p>
    <w:p w14:paraId="4F7B01D7" w14:textId="4A7869E2" w:rsidR="00DA766B" w:rsidRPr="00B75BEC" w:rsidRDefault="001E5814" w:rsidP="00B75BEC">
      <w:pPr>
        <w:jc w:val="both"/>
        <w:rPr>
          <w:b/>
          <w:bCs/>
          <w:sz w:val="24"/>
          <w:szCs w:val="24"/>
        </w:rPr>
      </w:pPr>
      <w:r w:rsidRPr="00B75BEC">
        <w:rPr>
          <w:sz w:val="24"/>
          <w:szCs w:val="24"/>
        </w:rPr>
        <w:t xml:space="preserve">Infine, </w:t>
      </w:r>
      <w:proofErr w:type="gramStart"/>
      <w:r w:rsidRPr="00B75BEC">
        <w:rPr>
          <w:sz w:val="24"/>
          <w:szCs w:val="24"/>
        </w:rPr>
        <w:t>i</w:t>
      </w:r>
      <w:r w:rsidR="00E013CB" w:rsidRPr="00B75BEC">
        <w:rPr>
          <w:sz w:val="24"/>
          <w:szCs w:val="24"/>
        </w:rPr>
        <w:t>l background migratorio</w:t>
      </w:r>
      <w:proofErr w:type="gramEnd"/>
      <w:r w:rsidR="00E013CB" w:rsidRPr="00B75BEC">
        <w:rPr>
          <w:sz w:val="24"/>
          <w:szCs w:val="24"/>
        </w:rPr>
        <w:t xml:space="preserve"> per le donne </w:t>
      </w:r>
      <w:r w:rsidRPr="00B75BEC">
        <w:rPr>
          <w:sz w:val="24"/>
          <w:szCs w:val="24"/>
        </w:rPr>
        <w:t xml:space="preserve">ha </w:t>
      </w:r>
      <w:r w:rsidR="00E013CB" w:rsidRPr="00B75BEC">
        <w:rPr>
          <w:sz w:val="24"/>
          <w:szCs w:val="24"/>
        </w:rPr>
        <w:t>determina</w:t>
      </w:r>
      <w:r w:rsidRPr="00B75BEC">
        <w:rPr>
          <w:sz w:val="24"/>
          <w:szCs w:val="24"/>
        </w:rPr>
        <w:t>to</w:t>
      </w:r>
      <w:r w:rsidR="00E013CB" w:rsidRPr="00B75BEC">
        <w:rPr>
          <w:sz w:val="24"/>
          <w:szCs w:val="24"/>
        </w:rPr>
        <w:t xml:space="preserve"> al 2023 un tasso di occupazione più basso rispe</w:t>
      </w:r>
      <w:r w:rsidR="00E013CB" w:rsidRPr="00B75BEC">
        <w:rPr>
          <w:rFonts w:ascii="Calibri" w:eastAsia="Calibri" w:hAnsi="Calibri" w:cs="Calibri"/>
          <w:sz w:val="24"/>
          <w:szCs w:val="24"/>
        </w:rPr>
        <w:t>tt</w:t>
      </w:r>
      <w:r w:rsidR="00E013CB" w:rsidRPr="00B75BEC">
        <w:rPr>
          <w:sz w:val="24"/>
          <w:szCs w:val="24"/>
        </w:rPr>
        <w:t xml:space="preserve">o alle donne native (48,7% </w:t>
      </w:r>
      <w:r w:rsidR="003B1842" w:rsidRPr="00B75BEC">
        <w:rPr>
          <w:sz w:val="24"/>
          <w:szCs w:val="24"/>
        </w:rPr>
        <w:t>contro</w:t>
      </w:r>
      <w:r w:rsidR="00E013CB" w:rsidRPr="00B75BEC">
        <w:rPr>
          <w:sz w:val="24"/>
          <w:szCs w:val="24"/>
        </w:rPr>
        <w:t xml:space="preserve"> 53,0%)</w:t>
      </w:r>
      <w:r w:rsidRPr="00B75BEC">
        <w:rPr>
          <w:sz w:val="24"/>
          <w:szCs w:val="24"/>
        </w:rPr>
        <w:t xml:space="preserve"> </w:t>
      </w:r>
      <w:r w:rsidR="00C411C9" w:rsidRPr="00B75BEC">
        <w:rPr>
          <w:sz w:val="24"/>
          <w:szCs w:val="24"/>
        </w:rPr>
        <w:t>e</w:t>
      </w:r>
      <w:r w:rsidR="00E013CB" w:rsidRPr="00B75BEC">
        <w:rPr>
          <w:sz w:val="24"/>
          <w:szCs w:val="24"/>
        </w:rPr>
        <w:t xml:space="preserve"> una disoccupazione più elevata (14,2% contro 8,3%)</w:t>
      </w:r>
      <w:r w:rsidR="00586C15" w:rsidRPr="00B75BEC">
        <w:rPr>
          <w:sz w:val="24"/>
          <w:szCs w:val="24"/>
        </w:rPr>
        <w:t xml:space="preserve">. </w:t>
      </w:r>
      <w:r w:rsidR="00E013CB" w:rsidRPr="00B75BEC">
        <w:rPr>
          <w:sz w:val="24"/>
          <w:szCs w:val="24"/>
        </w:rPr>
        <w:t xml:space="preserve">A parità di lavoro e qualifiche, le donne immigrate, guadagnano comunque meno </w:t>
      </w:r>
      <w:r w:rsidR="00586C15" w:rsidRPr="00B75BEC">
        <w:rPr>
          <w:sz w:val="24"/>
          <w:szCs w:val="24"/>
        </w:rPr>
        <w:t xml:space="preserve">sia </w:t>
      </w:r>
      <w:r w:rsidR="00E013CB" w:rsidRPr="00B75BEC">
        <w:rPr>
          <w:sz w:val="24"/>
          <w:szCs w:val="24"/>
        </w:rPr>
        <w:t xml:space="preserve">rispetto ai loro colleghi uomini </w:t>
      </w:r>
      <w:r w:rsidR="00586C15" w:rsidRPr="00B75BEC">
        <w:rPr>
          <w:sz w:val="24"/>
          <w:szCs w:val="24"/>
        </w:rPr>
        <w:t>sia</w:t>
      </w:r>
      <w:r w:rsidR="00E013CB" w:rsidRPr="00B75BEC">
        <w:rPr>
          <w:sz w:val="24"/>
          <w:szCs w:val="24"/>
        </w:rPr>
        <w:t xml:space="preserve"> alle donne italiane, con una concentrazione nei decili inferiori della distribuzione del reddito. </w:t>
      </w:r>
      <w:r w:rsidR="00C411C9" w:rsidRPr="00B75BEC">
        <w:rPr>
          <w:sz w:val="24"/>
          <w:szCs w:val="24"/>
        </w:rPr>
        <w:t>La presenza di figli rappresenta un ulteriore penalità: s</w:t>
      </w:r>
      <w:r w:rsidR="00586C15" w:rsidRPr="00B75BEC">
        <w:rPr>
          <w:sz w:val="24"/>
          <w:szCs w:val="24"/>
        </w:rPr>
        <w:t xml:space="preserve">e la migrazione è per ricongiungimento o matrimonio </w:t>
      </w:r>
      <w:r w:rsidR="00C411C9" w:rsidRPr="00B75BEC">
        <w:rPr>
          <w:sz w:val="24"/>
          <w:szCs w:val="24"/>
        </w:rPr>
        <w:t>l’inattività risulta maggiore sia delle donne native sia delle donne che migrano per lavoro. Per le donne migrate per lavoro, invece, aumenta il tema degli “orfani bianchi”, figli lasciati nel paese di origine. La complessità delle proc</w:t>
      </w:r>
      <w:r w:rsidR="00DA766B" w:rsidRPr="00B75BEC">
        <w:rPr>
          <w:sz w:val="24"/>
          <w:szCs w:val="24"/>
        </w:rPr>
        <w:t>e</w:t>
      </w:r>
      <w:r w:rsidR="00C411C9" w:rsidRPr="00B75BEC">
        <w:rPr>
          <w:sz w:val="24"/>
          <w:szCs w:val="24"/>
        </w:rPr>
        <w:t>dure di ricongiungimento e la parziale copertura di tutele di cui gode il settore del lavoro domestico e familiare in cui sono prevalentemente impiegate rappresenta un ulteriore fattore di marginalità.</w:t>
      </w:r>
    </w:p>
    <w:p w14:paraId="1C6A9A67" w14:textId="48D04189" w:rsidR="00864075" w:rsidRPr="00B75BEC" w:rsidRDefault="00864075" w:rsidP="00B75BEC">
      <w:pPr>
        <w:spacing w:after="0"/>
        <w:jc w:val="both"/>
        <w:rPr>
          <w:sz w:val="24"/>
          <w:szCs w:val="24"/>
        </w:rPr>
      </w:pPr>
      <w:r w:rsidRPr="00B75BEC">
        <w:rPr>
          <w:sz w:val="24"/>
          <w:szCs w:val="24"/>
        </w:rPr>
        <w:t xml:space="preserve">Il report propone </w:t>
      </w:r>
      <w:r w:rsidR="001E5814" w:rsidRPr="00B75BEC">
        <w:rPr>
          <w:sz w:val="24"/>
          <w:szCs w:val="24"/>
        </w:rPr>
        <w:t>anche</w:t>
      </w:r>
      <w:r w:rsidRPr="00B75BEC">
        <w:rPr>
          <w:sz w:val="24"/>
          <w:szCs w:val="24"/>
        </w:rPr>
        <w:t xml:space="preserve"> l’analisi di tre direttive europee, in tema di parità di genere</w:t>
      </w:r>
      <w:r w:rsidR="00B21409" w:rsidRPr="00B75BEC">
        <w:rPr>
          <w:sz w:val="24"/>
          <w:szCs w:val="24"/>
        </w:rPr>
        <w:t>, che l’Italia dovr</w:t>
      </w:r>
      <w:r w:rsidR="006A4C36" w:rsidRPr="00B75BEC">
        <w:rPr>
          <w:sz w:val="24"/>
          <w:szCs w:val="24"/>
        </w:rPr>
        <w:t>à</w:t>
      </w:r>
      <w:r w:rsidR="00B21409" w:rsidRPr="00B75BEC">
        <w:rPr>
          <w:sz w:val="24"/>
          <w:szCs w:val="24"/>
        </w:rPr>
        <w:t xml:space="preserve"> recepire entro la primavera 2026</w:t>
      </w:r>
      <w:r w:rsidRPr="00B75BEC">
        <w:rPr>
          <w:sz w:val="24"/>
          <w:szCs w:val="24"/>
        </w:rPr>
        <w:t xml:space="preserve">: </w:t>
      </w:r>
      <w:r w:rsidR="006A4C36" w:rsidRPr="00B75BEC">
        <w:rPr>
          <w:sz w:val="24"/>
          <w:szCs w:val="24"/>
        </w:rPr>
        <w:t xml:space="preserve">le </w:t>
      </w:r>
      <w:r w:rsidRPr="00B75BEC">
        <w:rPr>
          <w:sz w:val="24"/>
          <w:szCs w:val="24"/>
        </w:rPr>
        <w:t xml:space="preserve">direttive 1499 e 1500 del 2024 sulla razionalizzazione e sostegno degli organismi per la parità e la direttiva 970 del 2023 dedicata al rafforzamento del principio di parità retributiva per uno stesso lavoro o per un lavoro di pari valore attraverso misure di trasparenza retributiva. </w:t>
      </w:r>
    </w:p>
    <w:p w14:paraId="1D9A7EF4" w14:textId="77777777" w:rsidR="00B21409" w:rsidRPr="00B75BEC" w:rsidRDefault="00B21409" w:rsidP="00B75BEC">
      <w:pPr>
        <w:spacing w:after="0"/>
        <w:jc w:val="both"/>
        <w:rPr>
          <w:sz w:val="24"/>
          <w:szCs w:val="24"/>
        </w:rPr>
      </w:pPr>
    </w:p>
    <w:p w14:paraId="6AE01626" w14:textId="6854D0E1" w:rsidR="00B370BD" w:rsidRDefault="001E5814" w:rsidP="00B75BEC">
      <w:pPr>
        <w:jc w:val="both"/>
        <w:rPr>
          <w:sz w:val="24"/>
          <w:szCs w:val="24"/>
        </w:rPr>
      </w:pPr>
      <w:r w:rsidRPr="00B75BEC">
        <w:rPr>
          <w:sz w:val="24"/>
          <w:szCs w:val="24"/>
        </w:rPr>
        <w:t>“L’</w:t>
      </w:r>
      <w:r w:rsidR="00CF3BAE">
        <w:rPr>
          <w:sz w:val="24"/>
          <w:szCs w:val="24"/>
        </w:rPr>
        <w:t>o</w:t>
      </w:r>
      <w:r w:rsidRPr="00B75BEC">
        <w:rPr>
          <w:sz w:val="24"/>
          <w:szCs w:val="24"/>
        </w:rPr>
        <w:t>ccupazione femminile è una risorsa strategica</w:t>
      </w:r>
      <w:r w:rsidR="00B370BD">
        <w:rPr>
          <w:sz w:val="24"/>
          <w:szCs w:val="24"/>
        </w:rPr>
        <w:t xml:space="preserve"> ma l’incremento del tasso di occupazione per avvicinarlo alla media europea trova l’ostacolo della difficoltà di avere servizi adeguati </w:t>
      </w:r>
      <w:r w:rsidR="00A9131E">
        <w:rPr>
          <w:sz w:val="24"/>
          <w:szCs w:val="24"/>
        </w:rPr>
        <w:t>al</w:t>
      </w:r>
      <w:r w:rsidR="00B370BD">
        <w:rPr>
          <w:sz w:val="24"/>
          <w:szCs w:val="24"/>
        </w:rPr>
        <w:t xml:space="preserve"> lavoro di cura, </w:t>
      </w:r>
      <w:r w:rsidR="00166895">
        <w:rPr>
          <w:sz w:val="24"/>
          <w:szCs w:val="24"/>
        </w:rPr>
        <w:t xml:space="preserve">per </w:t>
      </w:r>
      <w:r w:rsidR="00B370BD">
        <w:rPr>
          <w:sz w:val="24"/>
          <w:szCs w:val="24"/>
        </w:rPr>
        <w:t xml:space="preserve">l’infanzia e per le persone non autosufficienti - </w:t>
      </w:r>
      <w:r w:rsidR="00B370BD" w:rsidRPr="00B370BD">
        <w:rPr>
          <w:b/>
          <w:bCs/>
          <w:sz w:val="24"/>
          <w:szCs w:val="24"/>
        </w:rPr>
        <w:t xml:space="preserve">ha dichiarato Natale Forlani, presidente </w:t>
      </w:r>
      <w:r w:rsidR="00B370BD" w:rsidRPr="00CF3BAE">
        <w:rPr>
          <w:b/>
          <w:bCs/>
          <w:sz w:val="24"/>
          <w:szCs w:val="24"/>
        </w:rPr>
        <w:t>d</w:t>
      </w:r>
      <w:r w:rsidR="00CF3BAE" w:rsidRPr="00CF3BAE">
        <w:rPr>
          <w:b/>
          <w:bCs/>
          <w:sz w:val="24"/>
          <w:szCs w:val="24"/>
        </w:rPr>
        <w:t>ell’</w:t>
      </w:r>
      <w:r w:rsidR="00B370BD" w:rsidRPr="00CF3BAE">
        <w:rPr>
          <w:b/>
          <w:bCs/>
          <w:sz w:val="24"/>
          <w:szCs w:val="24"/>
        </w:rPr>
        <w:t>Inapp</w:t>
      </w:r>
      <w:r w:rsidR="00CF3BAE">
        <w:rPr>
          <w:b/>
          <w:bCs/>
          <w:sz w:val="24"/>
          <w:szCs w:val="24"/>
        </w:rPr>
        <w:t xml:space="preserve"> -</w:t>
      </w:r>
      <w:r w:rsidR="00B370BD">
        <w:rPr>
          <w:b/>
          <w:bCs/>
          <w:sz w:val="24"/>
          <w:szCs w:val="24"/>
        </w:rPr>
        <w:t xml:space="preserve"> </w:t>
      </w:r>
      <w:r w:rsidR="00B370BD">
        <w:rPr>
          <w:sz w:val="24"/>
          <w:szCs w:val="24"/>
        </w:rPr>
        <w:t>Il lavoro femminile ne risente in termini di qualità dei rapporti di lavoro e una quota significativa di donne rinuncia a cercarlo.</w:t>
      </w:r>
      <w:r w:rsidR="006E5F9C">
        <w:rPr>
          <w:sz w:val="24"/>
          <w:szCs w:val="24"/>
        </w:rPr>
        <w:t xml:space="preserve"> </w:t>
      </w:r>
      <w:r w:rsidR="00B370BD">
        <w:rPr>
          <w:sz w:val="24"/>
          <w:szCs w:val="24"/>
        </w:rPr>
        <w:t>L’obiettivo di aumentare la dotazione di servizi e di migliorare la quantità e la qualità dei rapporti di lavoro delle donne, diventa pertanto una priorità delle politiche del lavoro.”</w:t>
      </w:r>
    </w:p>
    <w:p w14:paraId="09D8CC08" w14:textId="77777777" w:rsidR="00A9131E" w:rsidRDefault="00A9131E" w:rsidP="00B75BEC">
      <w:pPr>
        <w:jc w:val="both"/>
        <w:rPr>
          <w:sz w:val="24"/>
          <w:szCs w:val="24"/>
        </w:rPr>
      </w:pPr>
    </w:p>
    <w:p w14:paraId="4345A1CC" w14:textId="77777777" w:rsidR="00A9131E" w:rsidRPr="00994CD1" w:rsidRDefault="00A9131E" w:rsidP="00A9131E">
      <w:pPr>
        <w:jc w:val="both"/>
        <w:rPr>
          <w:sz w:val="24"/>
          <w:szCs w:val="24"/>
        </w:rPr>
      </w:pPr>
      <w:r w:rsidRPr="00994CD1">
        <w:rPr>
          <w:sz w:val="24"/>
          <w:szCs w:val="24"/>
        </w:rPr>
        <w:t>Per maggiori informazioni:</w:t>
      </w:r>
    </w:p>
    <w:p w14:paraId="615CDEC2" w14:textId="77777777" w:rsidR="00A9131E" w:rsidRPr="00994CD1" w:rsidRDefault="00A9131E" w:rsidP="00A9131E">
      <w:pPr>
        <w:jc w:val="both"/>
        <w:rPr>
          <w:sz w:val="24"/>
          <w:szCs w:val="24"/>
        </w:rPr>
      </w:pPr>
      <w:r w:rsidRPr="00994CD1">
        <w:rPr>
          <w:sz w:val="24"/>
          <w:szCs w:val="24"/>
        </w:rPr>
        <w:t>Presidenza – tel.0685447700</w:t>
      </w:r>
      <w:r>
        <w:rPr>
          <w:sz w:val="24"/>
          <w:szCs w:val="24"/>
        </w:rPr>
        <w:t xml:space="preserve"> </w:t>
      </w:r>
      <w:hyperlink r:id="rId9" w:history="1">
        <w:r w:rsidRPr="00994CD1">
          <w:rPr>
            <w:rStyle w:val="Collegamentoipertestuale"/>
            <w:sz w:val="24"/>
            <w:szCs w:val="24"/>
          </w:rPr>
          <w:t>comunicati.stampa@inapp.gov.it</w:t>
        </w:r>
      </w:hyperlink>
    </w:p>
    <w:p w14:paraId="7ADE7544" w14:textId="77777777" w:rsidR="00A9131E" w:rsidRDefault="00A9131E" w:rsidP="00B75BEC">
      <w:pPr>
        <w:jc w:val="both"/>
        <w:rPr>
          <w:sz w:val="24"/>
          <w:szCs w:val="24"/>
        </w:rPr>
      </w:pPr>
    </w:p>
    <w:sectPr w:rsidR="00A913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2FBB" w14:textId="77777777" w:rsidR="00345A8D" w:rsidRDefault="00345A8D" w:rsidP="009E3F6F">
      <w:pPr>
        <w:spacing w:after="0" w:line="240" w:lineRule="auto"/>
      </w:pPr>
      <w:r>
        <w:separator/>
      </w:r>
    </w:p>
  </w:endnote>
  <w:endnote w:type="continuationSeparator" w:id="0">
    <w:p w14:paraId="25BAFAEE" w14:textId="77777777" w:rsidR="00345A8D" w:rsidRDefault="00345A8D" w:rsidP="009E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8B3D" w14:textId="77777777" w:rsidR="00345A8D" w:rsidRDefault="00345A8D" w:rsidP="009E3F6F">
      <w:pPr>
        <w:spacing w:after="0" w:line="240" w:lineRule="auto"/>
      </w:pPr>
      <w:r>
        <w:separator/>
      </w:r>
    </w:p>
  </w:footnote>
  <w:footnote w:type="continuationSeparator" w:id="0">
    <w:p w14:paraId="1C46B5E8" w14:textId="77777777" w:rsidR="00345A8D" w:rsidRDefault="00345A8D" w:rsidP="009E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C6718"/>
    <w:multiLevelType w:val="hybridMultilevel"/>
    <w:tmpl w:val="FB04538E"/>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C11FF4"/>
    <w:multiLevelType w:val="hybridMultilevel"/>
    <w:tmpl w:val="736EBA54"/>
    <w:lvl w:ilvl="0" w:tplc="A212FB2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8532B5"/>
    <w:multiLevelType w:val="hybridMultilevel"/>
    <w:tmpl w:val="F4D05B40"/>
    <w:lvl w:ilvl="0" w:tplc="C2E8E7D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C174E1"/>
    <w:multiLevelType w:val="hybridMultilevel"/>
    <w:tmpl w:val="5C325960"/>
    <w:lvl w:ilvl="0" w:tplc="A212FB2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F307FD"/>
    <w:multiLevelType w:val="hybridMultilevel"/>
    <w:tmpl w:val="7434523A"/>
    <w:lvl w:ilvl="0" w:tplc="C3A62A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3C06B2"/>
    <w:multiLevelType w:val="hybridMultilevel"/>
    <w:tmpl w:val="8B826E22"/>
    <w:lvl w:ilvl="0" w:tplc="6346DA76">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600B70"/>
    <w:multiLevelType w:val="hybridMultilevel"/>
    <w:tmpl w:val="B4BE785A"/>
    <w:lvl w:ilvl="0" w:tplc="26CA9250">
      <w:start w:val="4"/>
      <w:numFmt w:val="decimal"/>
      <w:lvlText w:val="%1."/>
      <w:lvlJc w:val="left"/>
      <w:pPr>
        <w:ind w:left="720" w:hanging="360"/>
      </w:pPr>
      <w:rPr>
        <w:rFonts w:ascii="Calibri" w:eastAsia="Times New Roman" w:hAnsi="Calibri" w:cs="Calibri"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5044525">
    <w:abstractNumId w:val="5"/>
  </w:num>
  <w:num w:numId="2" w16cid:durableId="1373730753">
    <w:abstractNumId w:val="0"/>
  </w:num>
  <w:num w:numId="3" w16cid:durableId="1188327884">
    <w:abstractNumId w:val="3"/>
  </w:num>
  <w:num w:numId="4" w16cid:durableId="236670493">
    <w:abstractNumId w:val="4"/>
  </w:num>
  <w:num w:numId="5" w16cid:durableId="417335500">
    <w:abstractNumId w:val="1"/>
  </w:num>
  <w:num w:numId="6" w16cid:durableId="1003896455">
    <w:abstractNumId w:val="6"/>
  </w:num>
  <w:num w:numId="7" w16cid:durableId="1898735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CB"/>
    <w:rsid w:val="0015251F"/>
    <w:rsid w:val="00166895"/>
    <w:rsid w:val="00173D50"/>
    <w:rsid w:val="001A7802"/>
    <w:rsid w:val="001E5814"/>
    <w:rsid w:val="00207DB6"/>
    <w:rsid w:val="00245287"/>
    <w:rsid w:val="0027362B"/>
    <w:rsid w:val="002B580A"/>
    <w:rsid w:val="002C56DB"/>
    <w:rsid w:val="002C66C5"/>
    <w:rsid w:val="003140EA"/>
    <w:rsid w:val="00345A8D"/>
    <w:rsid w:val="003857A7"/>
    <w:rsid w:val="003A1E85"/>
    <w:rsid w:val="003B1842"/>
    <w:rsid w:val="003E6DFA"/>
    <w:rsid w:val="00405277"/>
    <w:rsid w:val="00435AE0"/>
    <w:rsid w:val="0052090C"/>
    <w:rsid w:val="00586C15"/>
    <w:rsid w:val="006136C0"/>
    <w:rsid w:val="006275A5"/>
    <w:rsid w:val="00634551"/>
    <w:rsid w:val="006A4C36"/>
    <w:rsid w:val="006E5F9C"/>
    <w:rsid w:val="007342AD"/>
    <w:rsid w:val="00836278"/>
    <w:rsid w:val="00854723"/>
    <w:rsid w:val="00864075"/>
    <w:rsid w:val="00875419"/>
    <w:rsid w:val="008E01CD"/>
    <w:rsid w:val="008E5C1A"/>
    <w:rsid w:val="00957891"/>
    <w:rsid w:val="0096700B"/>
    <w:rsid w:val="00987275"/>
    <w:rsid w:val="009E3F6F"/>
    <w:rsid w:val="00A149EE"/>
    <w:rsid w:val="00A9131E"/>
    <w:rsid w:val="00AC6C0E"/>
    <w:rsid w:val="00AF2C39"/>
    <w:rsid w:val="00B21409"/>
    <w:rsid w:val="00B2152C"/>
    <w:rsid w:val="00B370BD"/>
    <w:rsid w:val="00B65E34"/>
    <w:rsid w:val="00B75BEC"/>
    <w:rsid w:val="00BB436F"/>
    <w:rsid w:val="00BD33DD"/>
    <w:rsid w:val="00C32BED"/>
    <w:rsid w:val="00C411C9"/>
    <w:rsid w:val="00CF3BAE"/>
    <w:rsid w:val="00DA766B"/>
    <w:rsid w:val="00DB0B25"/>
    <w:rsid w:val="00E013CB"/>
    <w:rsid w:val="00E217D7"/>
    <w:rsid w:val="00E63386"/>
    <w:rsid w:val="00F17773"/>
    <w:rsid w:val="00F84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A131"/>
  <w15:chartTrackingRefBased/>
  <w15:docId w15:val="{D00CC66A-673D-4B5A-856A-806E4FB7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3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13CB"/>
    <w:pPr>
      <w:ind w:left="720"/>
      <w:contextualSpacing/>
    </w:pPr>
  </w:style>
  <w:style w:type="paragraph" w:styleId="Testonotaapidipagina">
    <w:name w:val="footnote text"/>
    <w:aliases w:val="IR note,Testo nota a piè di pagina FSE,stile 1,Footnote,Footnote1,Footnote2,Footnote3,Footnote4,Footnote5,Footnote6,Footnote7,Footnote8,Footnote9,Footnote10,Footnote11,Footnote21,Footnote31,Footnote41,Footnote51,Footnote61,Zna"/>
    <w:basedOn w:val="Normale"/>
    <w:link w:val="TestonotaapidipaginaCarattere"/>
    <w:uiPriority w:val="99"/>
    <w:unhideWhenUsed/>
    <w:qFormat/>
    <w:rsid w:val="009E3F6F"/>
    <w:pPr>
      <w:spacing w:after="0" w:line="240" w:lineRule="auto"/>
    </w:pPr>
    <w:rPr>
      <w:sz w:val="20"/>
      <w:szCs w:val="20"/>
    </w:rPr>
  </w:style>
  <w:style w:type="character" w:customStyle="1" w:styleId="TestonotaapidipaginaCarattere">
    <w:name w:val="Testo nota a piè di pagina Carattere"/>
    <w:aliases w:val="IR note Carattere,Testo nota a piè di pagina FSE Carattere,stile 1 Carattere,Footnote Carattere,Footnote1 Carattere,Footnote2 Carattere,Footnote3 Carattere,Footnote4 Carattere,Footnote5 Carattere,Footnote6 Carattere"/>
    <w:basedOn w:val="Carpredefinitoparagrafo"/>
    <w:link w:val="Testonotaapidipagina"/>
    <w:uiPriority w:val="99"/>
    <w:qFormat/>
    <w:rsid w:val="009E3F6F"/>
    <w:rPr>
      <w:sz w:val="20"/>
      <w:szCs w:val="20"/>
    </w:rPr>
  </w:style>
  <w:style w:type="character" w:styleId="Rimandonotaapidipagina">
    <w:name w:val="footnote reference"/>
    <w:aliases w:val="Footnote symbol,Footnote reference number,note TESI,BVI fnr,Appel note de bas de p,Nota,SUPERS,Footnote number,Footnote Reference Superscript,EN Footnote Reference,-E Fußnotenzeichen,number Char Char,number,Ref,styl,styli"/>
    <w:basedOn w:val="Carpredefinitoparagrafo"/>
    <w:link w:val="FootnotesymbolCharCharChar"/>
    <w:uiPriority w:val="99"/>
    <w:unhideWhenUsed/>
    <w:qFormat/>
    <w:rsid w:val="009E3F6F"/>
    <w:rPr>
      <w:vertAlign w:val="superscript"/>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FZ Char,4_G Char, Exposant 3 Point Char Char Char"/>
    <w:basedOn w:val="Normale"/>
    <w:link w:val="Rimandonotaapidipagina"/>
    <w:uiPriority w:val="99"/>
    <w:rsid w:val="009E3F6F"/>
    <w:pPr>
      <w:spacing w:line="240" w:lineRule="exact"/>
    </w:pPr>
    <w:rPr>
      <w:vertAlign w:val="superscript"/>
    </w:rPr>
  </w:style>
  <w:style w:type="character" w:styleId="Collegamentoipertestuale">
    <w:name w:val="Hyperlink"/>
    <w:basedOn w:val="Carpredefinitoparagrafo"/>
    <w:uiPriority w:val="99"/>
    <w:unhideWhenUsed/>
    <w:rsid w:val="00AF2C39"/>
    <w:rPr>
      <w:color w:val="0563C1" w:themeColor="hyperlink"/>
      <w:u w:val="single"/>
    </w:rPr>
  </w:style>
  <w:style w:type="character" w:styleId="Menzionenonrisolta">
    <w:name w:val="Unresolved Mention"/>
    <w:basedOn w:val="Carpredefinitoparagrafo"/>
    <w:uiPriority w:val="99"/>
    <w:semiHidden/>
    <w:unhideWhenUsed/>
    <w:rsid w:val="00AF2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690285">
      <w:bodyDiv w:val="1"/>
      <w:marLeft w:val="0"/>
      <w:marRight w:val="0"/>
      <w:marTop w:val="0"/>
      <w:marBottom w:val="0"/>
      <w:divBdr>
        <w:top w:val="none" w:sz="0" w:space="0" w:color="auto"/>
        <w:left w:val="none" w:sz="0" w:space="0" w:color="auto"/>
        <w:bottom w:val="none" w:sz="0" w:space="0" w:color="auto"/>
        <w:right w:val="none" w:sz="0" w:space="0" w:color="auto"/>
      </w:divBdr>
    </w:div>
    <w:div w:id="17315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4AFA.5AC65B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icati.stampa@inapp.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Deriu Franco</dc:creator>
  <cp:keywords/>
  <dc:description/>
  <cp:lastModifiedBy>Morreale Stefano</cp:lastModifiedBy>
  <cp:revision>2</cp:revision>
  <dcterms:created xsi:type="dcterms:W3CDTF">2024-12-16T08:23:00Z</dcterms:created>
  <dcterms:modified xsi:type="dcterms:W3CDTF">2024-12-16T08:23:00Z</dcterms:modified>
</cp:coreProperties>
</file>